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D32" w:rsidRPr="0082196B" w:rsidRDefault="00501D32" w:rsidP="0082196B">
      <w:pPr>
        <w:jc w:val="center"/>
        <w:rPr>
          <w:b/>
        </w:rPr>
      </w:pPr>
      <w:bookmarkStart w:id="0" w:name="_GoBack"/>
      <w:bookmarkEnd w:id="0"/>
      <w:r w:rsidRPr="0082196B">
        <w:rPr>
          <w:b/>
        </w:rPr>
        <w:t>Neue Untersuchungs- und Behandlungsmethoden gemäß §6 Absatz 2 KHEntgG</w:t>
      </w:r>
    </w:p>
    <w:p w:rsidR="00F42BA8" w:rsidRPr="0082196B" w:rsidRDefault="00F42BA8" w:rsidP="00F42B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7"/>
      </w:tblGrid>
      <w:tr w:rsidR="00F42BA8" w:rsidRPr="00385914">
        <w:tc>
          <w:tcPr>
            <w:tcW w:w="9347" w:type="dxa"/>
          </w:tcPr>
          <w:p w:rsidR="00F42BA8" w:rsidRPr="00385914" w:rsidRDefault="00F42BA8" w:rsidP="002202B2">
            <w:pPr>
              <w:rPr>
                <w:b/>
                <w:bCs/>
              </w:rPr>
            </w:pPr>
            <w:r w:rsidRPr="00385914">
              <w:rPr>
                <w:b/>
                <w:bCs/>
              </w:rPr>
              <w:t>Haben Sie externe Hilfestellungen in Anspruch genommen? Wenn ja, bitte geben Sie an, welche Hilfestellung Sie in Anspruch genommen haben?</w:t>
            </w:r>
          </w:p>
        </w:tc>
      </w:tr>
      <w:tr w:rsidR="00F42BA8" w:rsidRPr="00385914">
        <w:tc>
          <w:tcPr>
            <w:tcW w:w="9347" w:type="dxa"/>
          </w:tcPr>
          <w:p w:rsidR="00F42BA8" w:rsidRPr="0082196B" w:rsidRDefault="0082196B" w:rsidP="00281CEF">
            <w:r w:rsidRPr="00C40210">
              <w:t xml:space="preserve">Dieser Antrag wurde durch die Gesellschaft für Pädiatrische Onkologie und Hämatologie e.V. formuliert. </w:t>
            </w:r>
          </w:p>
        </w:tc>
      </w:tr>
    </w:tbl>
    <w:p w:rsidR="00F42BA8" w:rsidRPr="0082196B" w:rsidRDefault="00F42BA8" w:rsidP="002202B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F42BA8" w:rsidRPr="00385914">
        <w:tc>
          <w:tcPr>
            <w:tcW w:w="9333" w:type="dxa"/>
          </w:tcPr>
          <w:p w:rsidR="00F42BA8" w:rsidRPr="00385914" w:rsidRDefault="00F42BA8" w:rsidP="002202B2">
            <w:pPr>
              <w:rPr>
                <w:b/>
                <w:bCs/>
              </w:rPr>
            </w:pPr>
            <w:r w:rsidRPr="00385914">
              <w:rPr>
                <w:b/>
                <w:bCs/>
              </w:rPr>
              <w:t>1.1 Angefragte Untersuchungs- und Behandlungsmethode (Kurzbezeichnung)</w:t>
            </w:r>
          </w:p>
        </w:tc>
      </w:tr>
      <w:tr w:rsidR="00F42BA8" w:rsidRPr="00385914">
        <w:tc>
          <w:tcPr>
            <w:tcW w:w="9333" w:type="dxa"/>
          </w:tcPr>
          <w:p w:rsidR="00F42BA8" w:rsidRPr="0082196B" w:rsidRDefault="005A4A19" w:rsidP="002202B2">
            <w:r w:rsidRPr="0082196B">
              <w:t>Temozolomid iv</w:t>
            </w:r>
          </w:p>
        </w:tc>
      </w:tr>
    </w:tbl>
    <w:p w:rsidR="00F42BA8" w:rsidRPr="0082196B" w:rsidRDefault="00F42BA8" w:rsidP="002202B2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F42BA8" w:rsidRPr="00385914">
        <w:tc>
          <w:tcPr>
            <w:tcW w:w="9333" w:type="dxa"/>
          </w:tcPr>
          <w:p w:rsidR="00F42BA8" w:rsidRPr="00385914" w:rsidRDefault="00F42BA8" w:rsidP="002202B2">
            <w:pPr>
              <w:rPr>
                <w:b/>
                <w:bCs/>
              </w:rPr>
            </w:pPr>
            <w:r w:rsidRPr="00385914">
              <w:rPr>
                <w:b/>
                <w:bCs/>
              </w:rPr>
              <w:t xml:space="preserve">1.2 </w:t>
            </w:r>
            <w:r w:rsidRPr="00385914">
              <w:rPr>
                <w:b/>
              </w:rPr>
              <w:t>Alternative Bezeichnung(en) der Methode</w:t>
            </w:r>
          </w:p>
        </w:tc>
      </w:tr>
      <w:tr w:rsidR="00F42BA8" w:rsidRPr="00385914">
        <w:tc>
          <w:tcPr>
            <w:tcW w:w="9333" w:type="dxa"/>
          </w:tcPr>
          <w:p w:rsidR="00F42BA8" w:rsidRPr="0082196B" w:rsidRDefault="005A4A19" w:rsidP="002202B2">
            <w:r w:rsidRPr="0082196B">
              <w:t>Temodal</w:t>
            </w:r>
            <w:r w:rsidRPr="00385914">
              <w:rPr>
                <w:vertAlign w:val="superscript"/>
              </w:rPr>
              <w:t>®</w:t>
            </w:r>
            <w:r w:rsidRPr="0082196B">
              <w:t xml:space="preserve"> intravenös</w:t>
            </w:r>
          </w:p>
        </w:tc>
      </w:tr>
    </w:tbl>
    <w:p w:rsidR="00F42BA8" w:rsidRDefault="00F42BA8" w:rsidP="002202B2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541B1F" w:rsidRPr="004C4F82" w:rsidTr="007F65A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1F" w:rsidRPr="00541B1F" w:rsidRDefault="00541B1F" w:rsidP="007F65A6">
            <w:pPr>
              <w:tabs>
                <w:tab w:val="left" w:pos="7465"/>
              </w:tabs>
              <w:rPr>
                <w:b/>
              </w:rPr>
            </w:pPr>
            <w:r w:rsidRPr="00541B1F">
              <w:rPr>
                <w:b/>
              </w:rPr>
              <w:t>1.3 Beruht die neue Untersuchungs- und Behandlungsmethode vollständig oder in Teilen auf dem Einsatz eines Medizinproduktes?</w:t>
            </w:r>
            <w:r w:rsidRPr="00541B1F">
              <w:rPr>
                <w:b/>
              </w:rPr>
              <w:tab/>
            </w:r>
          </w:p>
        </w:tc>
      </w:tr>
      <w:tr w:rsidR="00541B1F" w:rsidRPr="005638EB" w:rsidTr="007F65A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B1F" w:rsidRPr="00541B1F" w:rsidRDefault="00541B1F" w:rsidP="007F65A6">
            <w:pPr>
              <w:rPr>
                <w:color w:val="00B050"/>
              </w:rPr>
            </w:pPr>
            <w:r w:rsidRPr="00541B1F">
              <w:rPr>
                <w:color w:val="00B050"/>
              </w:rPr>
              <w:t>Hier nein ankreuzen</w:t>
            </w:r>
          </w:p>
        </w:tc>
      </w:tr>
    </w:tbl>
    <w:p w:rsidR="00541B1F" w:rsidRDefault="00541B1F" w:rsidP="002202B2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541B1F" w:rsidRPr="005638EB" w:rsidTr="007F65A6">
        <w:tc>
          <w:tcPr>
            <w:tcW w:w="9212" w:type="dxa"/>
          </w:tcPr>
          <w:p w:rsidR="00541B1F" w:rsidRPr="00541B1F" w:rsidRDefault="00541B1F" w:rsidP="007F65A6">
            <w:pPr>
              <w:tabs>
                <w:tab w:val="left" w:pos="7465"/>
              </w:tabs>
              <w:rPr>
                <w:b/>
              </w:rPr>
            </w:pPr>
            <w:r w:rsidRPr="00541B1F">
              <w:rPr>
                <w:b/>
              </w:rPr>
              <w:t xml:space="preserve">1.4 Wurde für diese angefragte Untersuchungs- und Behandlungsmethode von Ihrem Krankenhaus bereits vor dem 01.01.2017 eine Anfrage gemäß §6 Abs. 2 KHEntG an das InEK übermittelt </w:t>
            </w:r>
            <w:r w:rsidRPr="00541B1F">
              <w:rPr>
                <w:b/>
              </w:rPr>
              <w:tab/>
            </w:r>
          </w:p>
        </w:tc>
      </w:tr>
      <w:tr w:rsidR="00541B1F" w:rsidRPr="005638EB" w:rsidTr="007F65A6">
        <w:tc>
          <w:tcPr>
            <w:tcW w:w="9212" w:type="dxa"/>
          </w:tcPr>
          <w:p w:rsidR="00541B1F" w:rsidRPr="00541B1F" w:rsidRDefault="00541B1F" w:rsidP="007F65A6">
            <w:r w:rsidRPr="00541B1F">
              <w:rPr>
                <w:highlight w:val="yellow"/>
              </w:rPr>
              <w:t>Ja/nein</w:t>
            </w:r>
          </w:p>
        </w:tc>
      </w:tr>
    </w:tbl>
    <w:p w:rsidR="00541B1F" w:rsidRDefault="00541B1F" w:rsidP="002202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F42BA8" w:rsidRPr="00385914">
        <w:tc>
          <w:tcPr>
            <w:tcW w:w="9333" w:type="dxa"/>
          </w:tcPr>
          <w:p w:rsidR="00F42BA8" w:rsidRPr="00385914" w:rsidRDefault="00F42BA8" w:rsidP="00541B1F">
            <w:pPr>
              <w:rPr>
                <w:b/>
                <w:bCs/>
              </w:rPr>
            </w:pPr>
            <w:r w:rsidRPr="00385914">
              <w:rPr>
                <w:b/>
                <w:bCs/>
              </w:rPr>
              <w:t>1.</w:t>
            </w:r>
            <w:r w:rsidR="00541B1F">
              <w:rPr>
                <w:b/>
                <w:bCs/>
              </w:rPr>
              <w:t>5</w:t>
            </w:r>
            <w:r w:rsidRPr="00385914">
              <w:rPr>
                <w:b/>
                <w:bCs/>
              </w:rPr>
              <w:t xml:space="preserve"> Beschreibung der neuen Methode</w:t>
            </w:r>
          </w:p>
        </w:tc>
      </w:tr>
      <w:tr w:rsidR="00F42BA8" w:rsidRPr="00385914">
        <w:tc>
          <w:tcPr>
            <w:tcW w:w="9333" w:type="dxa"/>
          </w:tcPr>
          <w:p w:rsidR="004B4004" w:rsidRPr="00385914" w:rsidRDefault="005A4A19" w:rsidP="005A4A19">
            <w:pPr>
              <w:rPr>
                <w:bCs/>
              </w:rPr>
            </w:pPr>
            <w:r w:rsidRPr="00385914">
              <w:rPr>
                <w:bCs/>
              </w:rPr>
              <w:t xml:space="preserve">Temozolomid war bisher schon in der oralen Applikationsform </w:t>
            </w:r>
            <w:r w:rsidR="004B4004" w:rsidRPr="00385914">
              <w:rPr>
                <w:bCs/>
              </w:rPr>
              <w:t>für Patienten im Alter &gt; 3 J</w:t>
            </w:r>
            <w:r w:rsidRPr="00385914">
              <w:rPr>
                <w:bCs/>
              </w:rPr>
              <w:t>ahre für die Behandlung hochgradiger (WHO°</w:t>
            </w:r>
            <w:r w:rsidR="00DD1B61">
              <w:rPr>
                <w:bCs/>
              </w:rPr>
              <w:t>3</w:t>
            </w:r>
            <w:r w:rsidRPr="00385914">
              <w:rPr>
                <w:bCs/>
              </w:rPr>
              <w:t xml:space="preserve"> und </w:t>
            </w:r>
            <w:r w:rsidR="00DD1B61">
              <w:rPr>
                <w:bCs/>
              </w:rPr>
              <w:t>4</w:t>
            </w:r>
            <w:r w:rsidRPr="00385914">
              <w:rPr>
                <w:bCs/>
              </w:rPr>
              <w:t>) Gliome</w:t>
            </w:r>
            <w:r w:rsidR="004B4004" w:rsidRPr="00385914">
              <w:rPr>
                <w:bCs/>
              </w:rPr>
              <w:t xml:space="preserve"> parallel und im Anschluss an eine Radiotherapie</w:t>
            </w:r>
            <w:r w:rsidR="00D706AD" w:rsidRPr="00385914">
              <w:rPr>
                <w:bCs/>
              </w:rPr>
              <w:t xml:space="preserve"> zugelassen</w:t>
            </w:r>
            <w:r w:rsidRPr="00385914">
              <w:rPr>
                <w:bCs/>
              </w:rPr>
              <w:t xml:space="preserve">. Die Vergütung </w:t>
            </w:r>
            <w:r w:rsidR="004B4004" w:rsidRPr="00385914">
              <w:rPr>
                <w:bCs/>
              </w:rPr>
              <w:t xml:space="preserve">des oralen Temozolomid </w:t>
            </w:r>
            <w:r w:rsidRPr="00385914">
              <w:rPr>
                <w:bCs/>
              </w:rPr>
              <w:t>erfolgt über ein Zusatzentgelt (Katalog ZE78</w:t>
            </w:r>
            <w:r w:rsidR="0082196B" w:rsidRPr="00385914">
              <w:rPr>
                <w:bCs/>
              </w:rPr>
              <w:t>).</w:t>
            </w:r>
          </w:p>
          <w:p w:rsidR="00F42BA8" w:rsidRPr="00385914" w:rsidRDefault="005A4A19" w:rsidP="005A4A19">
            <w:pPr>
              <w:rPr>
                <w:b/>
                <w:bCs/>
              </w:rPr>
            </w:pPr>
            <w:r w:rsidRPr="00385914">
              <w:rPr>
                <w:bCs/>
              </w:rPr>
              <w:t>Neu ist</w:t>
            </w:r>
            <w:r w:rsidR="00D706AD" w:rsidRPr="00385914">
              <w:rPr>
                <w:bCs/>
              </w:rPr>
              <w:t xml:space="preserve"> die</w:t>
            </w:r>
            <w:r w:rsidR="004B4004" w:rsidRPr="00385914">
              <w:rPr>
                <w:bCs/>
              </w:rPr>
              <w:t xml:space="preserve"> </w:t>
            </w:r>
            <w:r w:rsidRPr="00385914">
              <w:rPr>
                <w:bCs/>
              </w:rPr>
              <w:t>intravenöse Applikationsform</w:t>
            </w:r>
            <w:r w:rsidR="004B4004" w:rsidRPr="00385914">
              <w:rPr>
                <w:bCs/>
              </w:rPr>
              <w:t xml:space="preserve"> von Temozolomid, die die sichere Applikation</w:t>
            </w:r>
            <w:r w:rsidRPr="00385914">
              <w:rPr>
                <w:bCs/>
              </w:rPr>
              <w:t xml:space="preserve"> </w:t>
            </w:r>
            <w:r w:rsidR="004B4004" w:rsidRPr="00385914">
              <w:rPr>
                <w:bCs/>
              </w:rPr>
              <w:t>bei Patienten mit Schluckstörungen</w:t>
            </w:r>
            <w:r w:rsidR="00D706AD" w:rsidRPr="00385914">
              <w:rPr>
                <w:bCs/>
              </w:rPr>
              <w:t>, Aspirationsgefahr</w:t>
            </w:r>
            <w:r w:rsidR="004B4004" w:rsidRPr="00385914">
              <w:rPr>
                <w:bCs/>
              </w:rPr>
              <w:t xml:space="preserve"> oder rezidivierendem E</w:t>
            </w:r>
            <w:r w:rsidR="00D706AD" w:rsidRPr="00385914">
              <w:rPr>
                <w:bCs/>
              </w:rPr>
              <w:t>r</w:t>
            </w:r>
            <w:r w:rsidR="004B4004" w:rsidRPr="00385914">
              <w:rPr>
                <w:bCs/>
              </w:rPr>
              <w:t>br</w:t>
            </w:r>
            <w:r w:rsidR="00D706AD" w:rsidRPr="00385914">
              <w:rPr>
                <w:bCs/>
              </w:rPr>
              <w:t>e</w:t>
            </w:r>
            <w:r w:rsidR="004B4004" w:rsidRPr="00385914">
              <w:rPr>
                <w:bCs/>
              </w:rPr>
              <w:t>chen</w:t>
            </w:r>
            <w:r w:rsidR="00D706AD" w:rsidRPr="00385914">
              <w:rPr>
                <w:bCs/>
              </w:rPr>
              <w:t xml:space="preserve"> gestattet.</w:t>
            </w:r>
          </w:p>
        </w:tc>
      </w:tr>
    </w:tbl>
    <w:p w:rsidR="002B243B" w:rsidRPr="0082196B" w:rsidRDefault="002B243B" w:rsidP="002202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2B243B" w:rsidRPr="00385914">
        <w:tc>
          <w:tcPr>
            <w:tcW w:w="9333" w:type="dxa"/>
          </w:tcPr>
          <w:p w:rsidR="002B243B" w:rsidRPr="00385914" w:rsidRDefault="00541B1F" w:rsidP="002202B2">
            <w:pPr>
              <w:rPr>
                <w:b/>
                <w:bCs/>
              </w:rPr>
            </w:pPr>
            <w:r>
              <w:rPr>
                <w:b/>
                <w:bCs/>
              </w:rPr>
              <w:t>1.6</w:t>
            </w:r>
            <w:r w:rsidR="002B243B" w:rsidRPr="00385914">
              <w:rPr>
                <w:b/>
                <w:bCs/>
              </w:rPr>
              <w:t xml:space="preserve"> Mit welchem OPS wird die Methode verschlüsselt?</w:t>
            </w:r>
          </w:p>
        </w:tc>
      </w:tr>
      <w:tr w:rsidR="002B243B" w:rsidRPr="00385914">
        <w:tc>
          <w:tcPr>
            <w:tcW w:w="9333" w:type="dxa"/>
          </w:tcPr>
          <w:p w:rsidR="00D706AD" w:rsidRPr="00385914" w:rsidRDefault="00D706AD" w:rsidP="002202B2">
            <w:pPr>
              <w:rPr>
                <w:bCs/>
              </w:rPr>
            </w:pPr>
            <w:r w:rsidRPr="00385914">
              <w:rPr>
                <w:bCs/>
              </w:rPr>
              <w:t>8-542 Nicht komplexe Chemotherapie</w:t>
            </w:r>
          </w:p>
          <w:p w:rsidR="002B243B" w:rsidRPr="00385914" w:rsidRDefault="00D706AD" w:rsidP="002202B2">
            <w:pPr>
              <w:rPr>
                <w:b/>
                <w:bCs/>
              </w:rPr>
            </w:pPr>
            <w:r w:rsidRPr="00385914">
              <w:rPr>
                <w:bCs/>
              </w:rPr>
              <w:t>Ein dosisgestaffelter OPS-Code existiert bisher nicht.</w:t>
            </w:r>
          </w:p>
        </w:tc>
      </w:tr>
    </w:tbl>
    <w:p w:rsidR="00E66BC3" w:rsidRPr="0082196B" w:rsidRDefault="00E66BC3" w:rsidP="002202B2">
      <w:pPr>
        <w:tabs>
          <w:tab w:val="num" w:pos="54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E66BC3" w:rsidRPr="00385914">
        <w:trPr>
          <w:trHeight w:val="1861"/>
        </w:trPr>
        <w:tc>
          <w:tcPr>
            <w:tcW w:w="9333" w:type="dxa"/>
          </w:tcPr>
          <w:p w:rsidR="00E66BC3" w:rsidRPr="00385914" w:rsidRDefault="00E66BC3" w:rsidP="0038591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</w:rPr>
            </w:pPr>
            <w:r w:rsidRPr="00385914">
              <w:rPr>
                <w:b/>
                <w:bCs/>
              </w:rPr>
              <w:t>2.1 Bei welchen Patienten wird die Methode angewandt (Indikation)?</w:t>
            </w:r>
          </w:p>
          <w:p w:rsidR="00D706AD" w:rsidRPr="0082196B" w:rsidRDefault="00D706AD" w:rsidP="00385914">
            <w:pPr>
              <w:tabs>
                <w:tab w:val="num" w:pos="540"/>
              </w:tabs>
            </w:pPr>
            <w:r w:rsidRPr="0082196B">
              <w:t xml:space="preserve">Die neue Applikationsform ist vor allem für Patienten gedacht, die nicht in der Lage sind, </w:t>
            </w:r>
          </w:p>
          <w:p w:rsidR="00D706AD" w:rsidRPr="0082196B" w:rsidRDefault="00D706AD" w:rsidP="00385914">
            <w:pPr>
              <w:tabs>
                <w:tab w:val="num" w:pos="540"/>
              </w:tabs>
            </w:pPr>
            <w:r w:rsidRPr="0082196B">
              <w:t>Kapseln zu schlucken (Kinder, ältere Patienten, Patienten mit Schluckbeschwerden</w:t>
            </w:r>
            <w:r w:rsidR="00807B0C" w:rsidRPr="0082196B">
              <w:t>, Aspirationsgefahr und Erbrechen</w:t>
            </w:r>
            <w:r w:rsidRPr="0082196B">
              <w:t>) und Patienten, von denen eine unzuverlässige Compliance zu erwarten ist.</w:t>
            </w:r>
          </w:p>
          <w:p w:rsidR="00D706AD" w:rsidRPr="0082196B" w:rsidRDefault="00D706AD" w:rsidP="00385914">
            <w:pPr>
              <w:tabs>
                <w:tab w:val="num" w:pos="540"/>
              </w:tabs>
            </w:pPr>
            <w:r w:rsidRPr="0082196B">
              <w:t>Laut Zulassungstext ist Temozolomid intravenös angezeigt zur Behandlung von:</w:t>
            </w:r>
          </w:p>
          <w:p w:rsidR="00D706AD" w:rsidRPr="0082196B" w:rsidRDefault="00807B0C" w:rsidP="00385914">
            <w:pPr>
              <w:tabs>
                <w:tab w:val="num" w:pos="540"/>
              </w:tabs>
            </w:pPr>
            <w:r w:rsidRPr="0082196B">
              <w:t>1.</w:t>
            </w:r>
            <w:r w:rsidR="00D706AD" w:rsidRPr="0082196B">
              <w:t xml:space="preserve"> </w:t>
            </w:r>
            <w:r w:rsidR="00770C34" w:rsidRPr="0082196B">
              <w:tab/>
            </w:r>
            <w:r w:rsidR="00D706AD" w:rsidRPr="0082196B">
              <w:t xml:space="preserve">erwachsenen Patienten mit erstmalig diagnostiziertem Glioblastoma multiforme </w:t>
            </w:r>
            <w:r w:rsidR="00770C34" w:rsidRPr="0082196B">
              <w:tab/>
            </w:r>
            <w:r w:rsidR="00D706AD" w:rsidRPr="0082196B">
              <w:t>begleitend zur Radiotherapie und anschließend als Monotherapie.</w:t>
            </w:r>
          </w:p>
          <w:p w:rsidR="00E66BC3" w:rsidRPr="0082196B" w:rsidRDefault="00807B0C" w:rsidP="00385914">
            <w:pPr>
              <w:tabs>
                <w:tab w:val="num" w:pos="540"/>
              </w:tabs>
            </w:pPr>
            <w:r w:rsidRPr="0082196B">
              <w:t xml:space="preserve">2. </w:t>
            </w:r>
            <w:r w:rsidR="00770C34" w:rsidRPr="0082196B">
              <w:tab/>
            </w:r>
            <w:r w:rsidR="00D706AD" w:rsidRPr="0082196B">
              <w:t xml:space="preserve">Kindern ab 3 Jahren, Jugendlichen und erwachsenen Patienten mit einem nach </w:t>
            </w:r>
            <w:r w:rsidR="00770C34" w:rsidRPr="0082196B">
              <w:tab/>
            </w:r>
            <w:r w:rsidR="00D706AD" w:rsidRPr="0082196B">
              <w:t xml:space="preserve">Standardtherapie rezidivierenden oder progredienten malignen Gliom, wie z.B. </w:t>
            </w:r>
            <w:r w:rsidR="00770C34" w:rsidRPr="0082196B">
              <w:tab/>
            </w:r>
            <w:r w:rsidR="00D706AD" w:rsidRPr="0082196B">
              <w:t>Glioblastoma multiforme, oder anaplastische</w:t>
            </w:r>
            <w:r w:rsidR="00A250A4" w:rsidRPr="0082196B">
              <w:t>m</w:t>
            </w:r>
            <w:r w:rsidR="00D706AD" w:rsidRPr="0082196B">
              <w:t xml:space="preserve"> Astrozytom.</w:t>
            </w:r>
          </w:p>
          <w:p w:rsidR="00770C34" w:rsidRPr="0082196B" w:rsidRDefault="00770C34" w:rsidP="00385914">
            <w:pPr>
              <w:tabs>
                <w:tab w:val="num" w:pos="540"/>
              </w:tabs>
            </w:pPr>
          </w:p>
          <w:p w:rsidR="00807B0C" w:rsidRDefault="00807B0C" w:rsidP="00A327F1">
            <w:pPr>
              <w:tabs>
                <w:tab w:val="num" w:pos="540"/>
              </w:tabs>
            </w:pPr>
            <w:r w:rsidRPr="0082196B">
              <w:t>Darüber hinaus wird Temozolomid bei anderen malignen Hirntumoren (Medulloblastome, Ependymome)</w:t>
            </w:r>
            <w:r w:rsidR="00A327F1">
              <w:t>; ZNS-Lymphomen</w:t>
            </w:r>
            <w:r w:rsidRPr="0082196B">
              <w:t xml:space="preserve"> </w:t>
            </w:r>
            <w:r w:rsidR="00707C1D" w:rsidRPr="0082196B">
              <w:t xml:space="preserve">sowie </w:t>
            </w:r>
            <w:r w:rsidR="0020620B">
              <w:t xml:space="preserve">bei peripheren </w:t>
            </w:r>
            <w:r w:rsidR="00707C1D" w:rsidRPr="0082196B">
              <w:t>soliden Tumoren im Kindes- und Jugendalter</w:t>
            </w:r>
            <w:r w:rsidR="0020620B">
              <w:t xml:space="preserve"> (z.B. Ewing-Sarkom, Neuroblastom)</w:t>
            </w:r>
            <w:r w:rsidR="00707C1D" w:rsidRPr="0082196B">
              <w:t xml:space="preserve"> in der Rezidivsituation </w:t>
            </w:r>
            <w:r w:rsidR="0020620B">
              <w:t xml:space="preserve">und in der Erstlinientherapie </w:t>
            </w:r>
            <w:r w:rsidRPr="0082196B">
              <w:t>bei Versagen der Standardtherapien eingesetzt.</w:t>
            </w:r>
          </w:p>
          <w:p w:rsidR="00A87609" w:rsidRPr="00E478E4" w:rsidRDefault="00A87609" w:rsidP="00E478E4">
            <w:pPr>
              <w:pStyle w:val="HTMLVorformatiert"/>
              <w:spacing w:after="60"/>
              <w:jc w:val="both"/>
              <w:rPr>
                <w:rFonts w:ascii="Arial" w:hAnsi="Arial" w:cs="Arial"/>
                <w:color w:val="000000"/>
              </w:rPr>
            </w:pPr>
            <w:r w:rsidRPr="00E478E4">
              <w:rPr>
                <w:rFonts w:ascii="Arial" w:hAnsi="Arial" w:cs="Arial"/>
                <w:color w:val="000000"/>
              </w:rPr>
              <w:lastRenderedPageBreak/>
              <w:t>Literatur:</w:t>
            </w:r>
          </w:p>
          <w:p w:rsidR="00E478E4" w:rsidRPr="00E478E4" w:rsidRDefault="00E478E4" w:rsidP="00E478E4">
            <w:pPr>
              <w:pStyle w:val="HTMLVorformatiert"/>
              <w:spacing w:after="60"/>
              <w:rPr>
                <w:rFonts w:ascii="Arial" w:hAnsi="Arial" w:cs="Arial"/>
                <w:lang w:val="en-US"/>
              </w:rPr>
            </w:pPr>
            <w:r w:rsidRPr="00E478E4">
              <w:rPr>
                <w:rFonts w:ascii="Arial" w:hAnsi="Arial" w:cs="Arial"/>
                <w:lang w:val="en-US"/>
              </w:rPr>
              <w:t>Barone G, Maurizi P, Tamburrini G, Riccardi R. Role of temozolomide in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E478E4">
              <w:rPr>
                <w:rFonts w:ascii="Arial" w:hAnsi="Arial" w:cs="Arial"/>
                <w:lang w:val="en-US"/>
              </w:rPr>
              <w:t xml:space="preserve">pediatric brain tumors. Childs Nerv Syst. 2006 Jul;22(7):652-61. </w:t>
            </w:r>
          </w:p>
          <w:p w:rsidR="00E478E4" w:rsidRPr="00E478E4" w:rsidRDefault="00E478E4" w:rsidP="00E478E4">
            <w:pPr>
              <w:pStyle w:val="HTMLVorformatiert"/>
              <w:spacing w:after="60"/>
              <w:rPr>
                <w:rFonts w:ascii="Arial" w:hAnsi="Arial" w:cs="Arial"/>
                <w:lang w:val="en-US"/>
              </w:rPr>
            </w:pPr>
            <w:r w:rsidRPr="00E478E4">
              <w:rPr>
                <w:rFonts w:ascii="Arial" w:hAnsi="Arial" w:cs="Arial"/>
                <w:lang w:val="en-US"/>
              </w:rPr>
              <w:t>Cohen KJ, Pollack IF, Zhou T, Buxton A, Holmes EJ, Burger PC, Brat DJ,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E478E4">
              <w:rPr>
                <w:rFonts w:ascii="Arial" w:hAnsi="Arial" w:cs="Arial"/>
                <w:lang w:val="en-US"/>
              </w:rPr>
              <w:t>Rosenblum MK, Hamilton RL, Lavey RS, Heideman RL. Temozolomide in the treatment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E478E4">
              <w:rPr>
                <w:rFonts w:ascii="Arial" w:hAnsi="Arial" w:cs="Arial"/>
                <w:lang w:val="en-US"/>
              </w:rPr>
              <w:t>of high-grade gliomas in children: a report from the Children's Oncology Group.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E478E4">
              <w:rPr>
                <w:rFonts w:ascii="Arial" w:hAnsi="Arial" w:cs="Arial"/>
                <w:lang w:val="en-US"/>
              </w:rPr>
              <w:t xml:space="preserve">Neuro Oncol. 2011 Mar;13(3):317-23. </w:t>
            </w:r>
          </w:p>
          <w:p w:rsidR="00A87609" w:rsidRPr="00363CFF" w:rsidRDefault="00A87609" w:rsidP="00E478E4">
            <w:pPr>
              <w:pStyle w:val="HTMLVorformatiert"/>
              <w:spacing w:after="60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Grill J,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Geoerger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B, Gesner L,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Perek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D,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Leblond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P, Cañete A,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Aerts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I, Madero L, de Toledo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Codina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JS,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Verlooy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J,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Estlin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E,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Cisar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L,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Breazna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A, Dorman A, Bailey S,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Nicolin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G, Grundy RG, Hargrave D; European Consortium Innovative Therapies for Children with Cancer (ITCC) and the European Society for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Paediatric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Oncology (SIOPE) brain tumor group.. Phase II study of irinotecan in combination with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temozolomide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(TEMIRI) in children with recurrent or refractory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medulloblastoma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: a joint ITCC and SIOPE brain tumor study. Neuro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Oncol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>. 2013 Sep;15(9):1236-43.</w:t>
            </w:r>
          </w:p>
          <w:p w:rsidR="00A87609" w:rsidRPr="00363CFF" w:rsidRDefault="00A87609" w:rsidP="00E478E4">
            <w:pPr>
              <w:pStyle w:val="HTMLVorformatiert"/>
              <w:spacing w:after="60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Aguilera D,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Mazewski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C,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Fangusaro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J, MacDonald TJ,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McNall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-Knapp RY, Hayes LL, Kim S,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Castellino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RC. Response to bevacizumab, irinotecan, and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temozolomide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in children with relapsed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medulloblastoma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: a multi-institutional experience. Childs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Nerv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Syst. 2013 Apr;29(4):589-96. </w:t>
            </w:r>
          </w:p>
          <w:p w:rsidR="00A87609" w:rsidRDefault="00A87609" w:rsidP="00E478E4">
            <w:pPr>
              <w:pStyle w:val="HTMLVorformatiert"/>
              <w:spacing w:after="60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Di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Giannatale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A, Dias-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Gastellier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N,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Devos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A, Mc Hugh K,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Boubaker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A,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Courbon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F,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Verschuur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A,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Ducassoul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S,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Malekzadeh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K, Casanova M, Amoroso L,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Chastagner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P,Zwaan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CM,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Munzer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C,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Aerts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I, Landman-Parker J,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Riccardi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R, Le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Deley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MC,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Geoerger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B,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Rubie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H. Phase II study of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temozolomide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in combination with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topotecan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(TOTEM) in relapsed or refractory neuroblastoma: a European Innovative Therapies for Children with Cancer-SIOP-European Neuroblastoma study. </w:t>
            </w:r>
            <w:r w:rsidRPr="00363CFF">
              <w:rPr>
                <w:rStyle w:val="spelle"/>
                <w:rFonts w:ascii="Arial" w:hAnsi="Arial" w:cs="Arial"/>
                <w:color w:val="000000"/>
                <w:lang w:val="en-US"/>
              </w:rPr>
              <w:t>Eur</w:t>
            </w:r>
            <w:r w:rsidRPr="00363CFF">
              <w:rPr>
                <w:rFonts w:ascii="Arial" w:hAnsi="Arial" w:cs="Arial"/>
                <w:color w:val="000000"/>
                <w:lang w:val="en-US"/>
              </w:rPr>
              <w:t xml:space="preserve"> J Cancer. 2014 Jan;50(1):170-7.</w:t>
            </w:r>
          </w:p>
          <w:p w:rsidR="00E478E4" w:rsidRPr="00E478E4" w:rsidRDefault="00E478E4" w:rsidP="00E478E4">
            <w:pPr>
              <w:pStyle w:val="HTMLVorformatiert"/>
              <w:spacing w:after="60"/>
              <w:rPr>
                <w:rFonts w:ascii="Arial" w:hAnsi="Arial" w:cs="Arial"/>
                <w:lang w:val="en-US"/>
              </w:rPr>
            </w:pPr>
            <w:r w:rsidRPr="00E478E4">
              <w:rPr>
                <w:rFonts w:ascii="Arial" w:hAnsi="Arial" w:cs="Arial"/>
                <w:lang w:val="en-US"/>
              </w:rPr>
              <w:t>Jakacki RI, Cohen KJ, Buxton A, Krailo MD, Burger PC, Rosenblum MK, Brat DJ, Hamilton RL, Eckel SP, Zhou T, Lavey RS, Pollack IF. Phase 2 study of concurrent radiotherapy and temozolomide followed by temozolomide and lomustine in the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E478E4">
              <w:rPr>
                <w:rFonts w:ascii="Arial" w:hAnsi="Arial" w:cs="Arial"/>
                <w:lang w:val="en-US"/>
              </w:rPr>
              <w:t>treatment of children with high-grade glioma: a report of the Children's Oncology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E478E4">
              <w:rPr>
                <w:rFonts w:ascii="Arial" w:hAnsi="Arial" w:cs="Arial"/>
                <w:lang w:val="en-US"/>
              </w:rPr>
              <w:t xml:space="preserve">Group ACNS0423 study. Neuro Oncol. 2016 Oct;18(10):1442-50. </w:t>
            </w:r>
          </w:p>
          <w:p w:rsidR="00E478E4" w:rsidRPr="00E478E4" w:rsidRDefault="00E478E4" w:rsidP="00E478E4">
            <w:pPr>
              <w:pStyle w:val="HTMLVorformatiert"/>
              <w:spacing w:after="60"/>
              <w:rPr>
                <w:rFonts w:ascii="Arial" w:hAnsi="Arial" w:cs="Arial"/>
                <w:lang w:val="en-US"/>
              </w:rPr>
            </w:pPr>
            <w:r w:rsidRPr="00E478E4">
              <w:rPr>
                <w:rFonts w:ascii="Arial" w:hAnsi="Arial" w:cs="Arial"/>
                <w:lang w:val="en-US"/>
              </w:rPr>
              <w:t>Egan G, Cervone KA, Philips PC, Belasco JB, Finlay JL, Gardner SL. Phase I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E478E4">
              <w:rPr>
                <w:rFonts w:ascii="Arial" w:hAnsi="Arial" w:cs="Arial"/>
                <w:lang w:val="en-US"/>
              </w:rPr>
              <w:t>study of temozolomide in combination with thiotepa and carboplatin with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E478E4">
              <w:rPr>
                <w:rFonts w:ascii="Arial" w:hAnsi="Arial" w:cs="Arial"/>
                <w:lang w:val="en-US"/>
              </w:rPr>
              <w:t>autologous hematopoietic cell rescue in patients with malignant brain tumors with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E478E4">
              <w:rPr>
                <w:rFonts w:ascii="Arial" w:hAnsi="Arial" w:cs="Arial"/>
                <w:lang w:val="en-US"/>
              </w:rPr>
              <w:t xml:space="preserve">minimal residual disease. Bone Marrow Transplant. 2016 Apr;51(4):542-5. </w:t>
            </w:r>
          </w:p>
          <w:p w:rsidR="00363CFF" w:rsidRPr="00363CFF" w:rsidRDefault="00363CFF" w:rsidP="00E478E4">
            <w:pPr>
              <w:pStyle w:val="HTMLVorformatiert"/>
              <w:spacing w:after="60"/>
              <w:rPr>
                <w:rFonts w:ascii="Arial" w:hAnsi="Arial" w:cs="Arial"/>
                <w:lang w:val="en-US"/>
              </w:rPr>
            </w:pPr>
            <w:r w:rsidRPr="00363CFF">
              <w:rPr>
                <w:rFonts w:ascii="Arial" w:hAnsi="Arial" w:cs="Arial"/>
                <w:lang w:val="en-US"/>
              </w:rPr>
              <w:t>Bautista F, Fioravantti V, de Rojas T, Carceller F, Madero L, Lassaletta A,</w:t>
            </w:r>
          </w:p>
          <w:p w:rsidR="00A87609" w:rsidRPr="0020620B" w:rsidRDefault="00363CFF" w:rsidP="00E478E4">
            <w:pPr>
              <w:pStyle w:val="HTMLVorformatiert"/>
              <w:spacing w:after="60"/>
            </w:pPr>
            <w:r w:rsidRPr="00363CFF">
              <w:rPr>
                <w:rFonts w:ascii="Arial" w:hAnsi="Arial" w:cs="Arial"/>
                <w:lang w:val="en-US"/>
              </w:rPr>
              <w:t xml:space="preserve">Moreno L. Medulloblastoma in children and adolescents: a systematic review of contemporary phase I and II clinical trials and biology update. Cancer Med. 2017 Oct 4. doi: 10.1002/cam4.1171. </w:t>
            </w:r>
            <w:r w:rsidRPr="00363CFF">
              <w:rPr>
                <w:rFonts w:ascii="Arial" w:hAnsi="Arial" w:cs="Arial"/>
              </w:rPr>
              <w:t>[Epub ahead of print]</w:t>
            </w:r>
          </w:p>
        </w:tc>
      </w:tr>
    </w:tbl>
    <w:p w:rsidR="0045256B" w:rsidRPr="0082196B" w:rsidRDefault="0045256B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45256B" w:rsidRPr="00385914">
        <w:tc>
          <w:tcPr>
            <w:tcW w:w="9333" w:type="dxa"/>
          </w:tcPr>
          <w:p w:rsidR="0045256B" w:rsidRPr="00385914" w:rsidRDefault="0045256B" w:rsidP="0038591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914">
              <w:rPr>
                <w:b/>
              </w:rPr>
              <w:t>2.2 Welche bestehende Methode wird durch die neue Methode abgelöst oder ergänzt?</w:t>
            </w:r>
          </w:p>
        </w:tc>
      </w:tr>
      <w:tr w:rsidR="0045256B" w:rsidRPr="00385914">
        <w:tc>
          <w:tcPr>
            <w:tcW w:w="9333" w:type="dxa"/>
          </w:tcPr>
          <w:p w:rsidR="0045256B" w:rsidRPr="00385914" w:rsidRDefault="00A250A4" w:rsidP="0038591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2196B">
              <w:t>Es steht nun zusätzlich zur oralen Form von Temozolomid auch die intravenöse Form zur Verfügung. Insofern kommt es lediglich zu einer Verschiebung der oralen in die intravenöse Applikationsform.</w:t>
            </w:r>
          </w:p>
        </w:tc>
      </w:tr>
    </w:tbl>
    <w:p w:rsidR="005805ED" w:rsidRPr="0082196B" w:rsidRDefault="005805ED" w:rsidP="002202B2">
      <w:pPr>
        <w:tabs>
          <w:tab w:val="left" w:pos="360"/>
        </w:tabs>
        <w:autoSpaceDE w:val="0"/>
        <w:autoSpaceDN w:val="0"/>
        <w:adjustRightInd w:val="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5805ED" w:rsidRPr="00385914">
        <w:tc>
          <w:tcPr>
            <w:tcW w:w="9333" w:type="dxa"/>
          </w:tcPr>
          <w:p w:rsidR="005805ED" w:rsidRPr="00385914" w:rsidRDefault="005805ED" w:rsidP="0038591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914">
              <w:rPr>
                <w:b/>
              </w:rPr>
              <w:t>2.3 Ist die Methode vollständig oder in Teilen neu und warum handelt es sich um eine neue Untersuchungs- und Behandlungsmethode?</w:t>
            </w:r>
          </w:p>
        </w:tc>
      </w:tr>
      <w:tr w:rsidR="005805ED" w:rsidRPr="00385914">
        <w:tc>
          <w:tcPr>
            <w:tcW w:w="9333" w:type="dxa"/>
          </w:tcPr>
          <w:p w:rsidR="005805ED" w:rsidRPr="0082196B" w:rsidRDefault="00A250A4" w:rsidP="0038591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</w:pPr>
            <w:r w:rsidRPr="0082196B">
              <w:t>Bis</w:t>
            </w:r>
            <w:r w:rsidR="0018056D">
              <w:t xml:space="preserve"> 2009 </w:t>
            </w:r>
            <w:r w:rsidRPr="0082196B">
              <w:t>war Temozolomid nicht als intravenöse Formulierung erhältlich.</w:t>
            </w:r>
            <w:r w:rsidR="00770C34" w:rsidRPr="0082196B">
              <w:t xml:space="preserve"> </w:t>
            </w:r>
            <w:r w:rsidRPr="0082196B">
              <w:t>Die Methode ist insofern neu, als dass jetzt für alle Patientengruppen Temozolomid verfügbar ist, auch für diejenigen Patienten, die keine Kapseln schlucken können (Kinder, ältere Patienten, Patienten mit Schluckbeschwerden</w:t>
            </w:r>
            <w:r w:rsidR="00194830" w:rsidRPr="0082196B">
              <w:t>, Aspirationsgefahr, Erbrechen</w:t>
            </w:r>
            <w:r w:rsidRPr="0082196B">
              <w:t>) und Patienten, von denen eine unzuverlässige Compliance zu erwarten ist.</w:t>
            </w:r>
          </w:p>
          <w:p w:rsidR="00421EB8" w:rsidRPr="00385914" w:rsidRDefault="00421EB8" w:rsidP="008D719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2196B">
              <w:t>In den Informationen nach § 6 Abs. 2 KHEntgG für 201</w:t>
            </w:r>
            <w:r w:rsidR="008D719F">
              <w:t>7</w:t>
            </w:r>
            <w:r w:rsidRPr="0082196B">
              <w:t xml:space="preserve"> erhielt Temozolomid iv den Status 1 (Position </w:t>
            </w:r>
            <w:r w:rsidR="006466FD">
              <w:t>3</w:t>
            </w:r>
            <w:r w:rsidR="008D719F">
              <w:t>8</w:t>
            </w:r>
            <w:r w:rsidRPr="0082196B">
              <w:t>).</w:t>
            </w:r>
          </w:p>
        </w:tc>
      </w:tr>
    </w:tbl>
    <w:p w:rsidR="005805ED" w:rsidRPr="0082196B" w:rsidRDefault="005805ED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1801C2" w:rsidRPr="00385914">
        <w:tc>
          <w:tcPr>
            <w:tcW w:w="9333" w:type="dxa"/>
          </w:tcPr>
          <w:p w:rsidR="001801C2" w:rsidRPr="00385914" w:rsidRDefault="001801C2" w:rsidP="0038591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914">
              <w:rPr>
                <w:b/>
              </w:rPr>
              <w:t>2.4 Welche Auswirkung hat die Methode auf die Verweildauer im Krankenhaus?</w:t>
            </w:r>
          </w:p>
        </w:tc>
      </w:tr>
      <w:tr w:rsidR="001801C2" w:rsidRPr="00385914">
        <w:tc>
          <w:tcPr>
            <w:tcW w:w="9333" w:type="dxa"/>
          </w:tcPr>
          <w:p w:rsidR="001801C2" w:rsidRPr="0082196B" w:rsidRDefault="00194830" w:rsidP="0038591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</w:pPr>
            <w:r w:rsidRPr="0082196B">
              <w:t>Es sind keine Veränderungen der Verweildauer zu erwarten.</w:t>
            </w:r>
          </w:p>
        </w:tc>
      </w:tr>
    </w:tbl>
    <w:p w:rsidR="00501D32" w:rsidRPr="0082196B" w:rsidRDefault="00501D32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3031C7" w:rsidRPr="00385914">
        <w:tc>
          <w:tcPr>
            <w:tcW w:w="9333" w:type="dxa"/>
          </w:tcPr>
          <w:p w:rsidR="003031C7" w:rsidRPr="00385914" w:rsidRDefault="003031C7" w:rsidP="0038591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914">
              <w:rPr>
                <w:b/>
              </w:rPr>
              <w:lastRenderedPageBreak/>
              <w:t>3.1 Wann wurde diese Methode in Deutschland eingeführt?</w:t>
            </w:r>
          </w:p>
        </w:tc>
      </w:tr>
      <w:tr w:rsidR="003031C7" w:rsidRPr="00385914">
        <w:tc>
          <w:tcPr>
            <w:tcW w:w="9333" w:type="dxa"/>
          </w:tcPr>
          <w:p w:rsidR="003031C7" w:rsidRPr="0082196B" w:rsidRDefault="00194830" w:rsidP="0038591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</w:pPr>
            <w:r w:rsidRPr="0082196B">
              <w:t>Die Produkteinführung auf dem deutschen Markt war Anfang Juli 2009.</w:t>
            </w:r>
          </w:p>
        </w:tc>
      </w:tr>
    </w:tbl>
    <w:p w:rsidR="001801C2" w:rsidRPr="0082196B" w:rsidRDefault="001801C2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7E5FB3" w:rsidRPr="00385914">
        <w:tc>
          <w:tcPr>
            <w:tcW w:w="9333" w:type="dxa"/>
          </w:tcPr>
          <w:p w:rsidR="007E5FB3" w:rsidRPr="00385914" w:rsidRDefault="007E5FB3" w:rsidP="0038591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914">
              <w:rPr>
                <w:b/>
              </w:rPr>
              <w:t>3.2 Bei Medikamenten: Wann wurde dieses Medikament zugelassen?</w:t>
            </w:r>
          </w:p>
        </w:tc>
      </w:tr>
      <w:tr w:rsidR="007E5FB3" w:rsidRPr="00385914">
        <w:tc>
          <w:tcPr>
            <w:tcW w:w="9333" w:type="dxa"/>
          </w:tcPr>
          <w:p w:rsidR="007E5FB3" w:rsidRPr="00385914" w:rsidRDefault="00394A9C" w:rsidP="0038591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2196B">
              <w:t>Temozolomid-Pulver zur Herstellung einer Infusionslösung ist seit dem 17.02.2009 in Deutschland zugelassen.</w:t>
            </w:r>
          </w:p>
        </w:tc>
      </w:tr>
    </w:tbl>
    <w:p w:rsidR="007E5FB3" w:rsidRPr="0082196B" w:rsidRDefault="007E5FB3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7E5FB3" w:rsidRPr="00385914">
        <w:tc>
          <w:tcPr>
            <w:tcW w:w="9333" w:type="dxa"/>
          </w:tcPr>
          <w:p w:rsidR="007E5FB3" w:rsidRPr="00385914" w:rsidRDefault="007E5FB3" w:rsidP="0038591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914">
              <w:rPr>
                <w:b/>
              </w:rPr>
              <w:t>3.3 Wann wurde bzw. wird die Methode in Ihrem Krankenhaus eingeführt?</w:t>
            </w:r>
          </w:p>
        </w:tc>
      </w:tr>
      <w:tr w:rsidR="007E5FB3" w:rsidRPr="00385914">
        <w:tc>
          <w:tcPr>
            <w:tcW w:w="9333" w:type="dxa"/>
          </w:tcPr>
          <w:p w:rsidR="007E5FB3" w:rsidRPr="00385914" w:rsidRDefault="007E5FB3" w:rsidP="0038591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914">
              <w:rPr>
                <w:b/>
                <w:highlight w:val="yellow"/>
              </w:rPr>
              <w:t>XXXX</w:t>
            </w:r>
          </w:p>
        </w:tc>
      </w:tr>
    </w:tbl>
    <w:p w:rsidR="007E5FB3" w:rsidRPr="0082196B" w:rsidRDefault="007E5FB3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7E5FB3" w:rsidRPr="00385914">
        <w:tc>
          <w:tcPr>
            <w:tcW w:w="9333" w:type="dxa"/>
          </w:tcPr>
          <w:p w:rsidR="007E5FB3" w:rsidRPr="00385914" w:rsidRDefault="007E5FB3" w:rsidP="0038591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914">
              <w:rPr>
                <w:b/>
              </w:rPr>
              <w:t>3.4. In wie vielen Kliniken wird diese Methode zurzeit eingesetzt (Schätzung)?</w:t>
            </w:r>
          </w:p>
        </w:tc>
      </w:tr>
      <w:tr w:rsidR="007E5FB3" w:rsidRPr="00385914">
        <w:tc>
          <w:tcPr>
            <w:tcW w:w="9193" w:type="dxa"/>
          </w:tcPr>
          <w:p w:rsidR="007E5FB3" w:rsidRPr="0082196B" w:rsidRDefault="0020620B" w:rsidP="00D261C5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</w:pPr>
            <w:r>
              <w:t>Hierzu</w:t>
            </w:r>
            <w:r w:rsidR="00194830" w:rsidRPr="0082196B">
              <w:t xml:space="preserve"> liegen </w:t>
            </w:r>
            <w:r>
              <w:t>keine Informationen</w:t>
            </w:r>
            <w:r w:rsidR="00194830" w:rsidRPr="0082196B">
              <w:t xml:space="preserve"> vor. Sämtliche hoch spezialisierte neuroonkologische Zentren werden Temozolomid intravenös einsetzen, wenn </w:t>
            </w:r>
            <w:r w:rsidR="00024DE5">
              <w:t xml:space="preserve">es </w:t>
            </w:r>
            <w:r w:rsidR="00194830" w:rsidRPr="0082196B">
              <w:t>aufgrund der spezifischen Patientensituation erforderlich</w:t>
            </w:r>
            <w:r w:rsidR="00394A9C" w:rsidRPr="0082196B">
              <w:t xml:space="preserve"> ist</w:t>
            </w:r>
            <w:r w:rsidR="00D261C5">
              <w:t>.</w:t>
            </w:r>
          </w:p>
        </w:tc>
      </w:tr>
    </w:tbl>
    <w:p w:rsidR="00501D32" w:rsidRPr="0082196B" w:rsidRDefault="00501D32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AA6825" w:rsidRPr="00385914">
        <w:tc>
          <w:tcPr>
            <w:tcW w:w="9333" w:type="dxa"/>
          </w:tcPr>
          <w:p w:rsidR="00AA6825" w:rsidRPr="00385914" w:rsidRDefault="00AA6825" w:rsidP="008D719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914">
              <w:rPr>
                <w:b/>
                <w:bCs/>
              </w:rPr>
              <w:t>3.5 Wie viele Patienten wurden in Ihrem Krankenhaus in 20</w:t>
            </w:r>
            <w:r w:rsidR="00F15277" w:rsidRPr="00385914">
              <w:rPr>
                <w:b/>
                <w:bCs/>
              </w:rPr>
              <w:t>1</w:t>
            </w:r>
            <w:r w:rsidR="008D719F">
              <w:rPr>
                <w:b/>
                <w:bCs/>
              </w:rPr>
              <w:t>6</w:t>
            </w:r>
            <w:r w:rsidRPr="00385914">
              <w:rPr>
                <w:b/>
                <w:bCs/>
              </w:rPr>
              <w:t xml:space="preserve"> oder in 201</w:t>
            </w:r>
            <w:r w:rsidR="008D719F">
              <w:rPr>
                <w:b/>
                <w:bCs/>
              </w:rPr>
              <w:t>7</w:t>
            </w:r>
            <w:r w:rsidRPr="00385914">
              <w:rPr>
                <w:b/>
                <w:bCs/>
              </w:rPr>
              <w:t xml:space="preserve"> mit dieser Methode behandelt?</w:t>
            </w:r>
          </w:p>
        </w:tc>
      </w:tr>
      <w:tr w:rsidR="00AA6825" w:rsidRPr="00385914">
        <w:tc>
          <w:tcPr>
            <w:tcW w:w="9333" w:type="dxa"/>
          </w:tcPr>
          <w:p w:rsidR="00AA6825" w:rsidRPr="00385914" w:rsidRDefault="00AA6825" w:rsidP="008D719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914">
              <w:rPr>
                <w:b/>
              </w:rPr>
              <w:t>20</w:t>
            </w:r>
            <w:r w:rsidR="00F15277" w:rsidRPr="00385914">
              <w:rPr>
                <w:b/>
              </w:rPr>
              <w:t>1</w:t>
            </w:r>
            <w:r w:rsidR="008D719F">
              <w:rPr>
                <w:b/>
              </w:rPr>
              <w:t>6</w:t>
            </w:r>
            <w:r w:rsidRPr="00385914">
              <w:rPr>
                <w:b/>
              </w:rPr>
              <w:t xml:space="preserve">: </w:t>
            </w:r>
            <w:r w:rsidRPr="00385914">
              <w:rPr>
                <w:b/>
                <w:highlight w:val="yellow"/>
              </w:rPr>
              <w:t>XXXX</w:t>
            </w:r>
          </w:p>
        </w:tc>
      </w:tr>
      <w:tr w:rsidR="00AA6825" w:rsidRPr="00385914">
        <w:tc>
          <w:tcPr>
            <w:tcW w:w="9179" w:type="dxa"/>
          </w:tcPr>
          <w:p w:rsidR="00AA6825" w:rsidRPr="00385914" w:rsidRDefault="00AA6825" w:rsidP="008D719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914">
              <w:rPr>
                <w:b/>
              </w:rPr>
              <w:t>201</w:t>
            </w:r>
            <w:r w:rsidR="008D719F">
              <w:rPr>
                <w:b/>
              </w:rPr>
              <w:t>7</w:t>
            </w:r>
            <w:r w:rsidRPr="00385914">
              <w:rPr>
                <w:b/>
              </w:rPr>
              <w:t xml:space="preserve">: </w:t>
            </w:r>
            <w:r w:rsidRPr="00385914">
              <w:rPr>
                <w:b/>
                <w:highlight w:val="yellow"/>
              </w:rPr>
              <w:t>XXXX</w:t>
            </w:r>
          </w:p>
        </w:tc>
      </w:tr>
    </w:tbl>
    <w:p w:rsidR="007E5FB3" w:rsidRPr="0082196B" w:rsidRDefault="007E5FB3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AA6825" w:rsidRPr="00385914">
        <w:tc>
          <w:tcPr>
            <w:tcW w:w="9333" w:type="dxa"/>
          </w:tcPr>
          <w:p w:rsidR="00AA6825" w:rsidRPr="00385914" w:rsidRDefault="00AA6825" w:rsidP="008D719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914">
              <w:rPr>
                <w:b/>
                <w:bCs/>
              </w:rPr>
              <w:t>3.6 Wie viele Patienten planen Sie im Jahr 201</w:t>
            </w:r>
            <w:r w:rsidR="008D719F">
              <w:rPr>
                <w:b/>
                <w:bCs/>
              </w:rPr>
              <w:t>8</w:t>
            </w:r>
            <w:r w:rsidRPr="00385914">
              <w:rPr>
                <w:b/>
                <w:bCs/>
              </w:rPr>
              <w:t xml:space="preserve"> mit dieser Methode zu behandeln?</w:t>
            </w:r>
          </w:p>
        </w:tc>
      </w:tr>
      <w:tr w:rsidR="00AA6825" w:rsidRPr="00385914">
        <w:tc>
          <w:tcPr>
            <w:tcW w:w="9333" w:type="dxa"/>
          </w:tcPr>
          <w:p w:rsidR="00AA6825" w:rsidRPr="00385914" w:rsidRDefault="00AA6825" w:rsidP="008D719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914">
              <w:rPr>
                <w:b/>
              </w:rPr>
              <w:t>201</w:t>
            </w:r>
            <w:r w:rsidR="008D719F">
              <w:rPr>
                <w:b/>
              </w:rPr>
              <w:t xml:space="preserve">8: </w:t>
            </w:r>
            <w:r w:rsidRPr="00385914">
              <w:rPr>
                <w:b/>
                <w:highlight w:val="yellow"/>
              </w:rPr>
              <w:t>XXXX</w:t>
            </w:r>
          </w:p>
        </w:tc>
      </w:tr>
    </w:tbl>
    <w:p w:rsidR="007E5FB3" w:rsidRPr="0082196B" w:rsidRDefault="007E5FB3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AA6825" w:rsidRPr="00385914">
        <w:tc>
          <w:tcPr>
            <w:tcW w:w="9333" w:type="dxa"/>
          </w:tcPr>
          <w:p w:rsidR="00AA6825" w:rsidRPr="00385914" w:rsidRDefault="001B288A" w:rsidP="0038591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914">
              <w:rPr>
                <w:b/>
                <w:bCs/>
              </w:rPr>
              <w:t>4.1 Entstehen durch die neue Methode Mehrkosten gegenüber dem bisher üblichen Verfahren? Wenn ja, wodurch? In welcher Höhe (möglichst aufgetrennt nach Sach- und Personalkosten)?</w:t>
            </w:r>
          </w:p>
        </w:tc>
      </w:tr>
      <w:tr w:rsidR="00AA6825" w:rsidRPr="00385914">
        <w:tc>
          <w:tcPr>
            <w:tcW w:w="9333" w:type="dxa"/>
          </w:tcPr>
          <w:p w:rsidR="00672D5E" w:rsidRPr="00385914" w:rsidRDefault="00672D5E" w:rsidP="00385914">
            <w:pPr>
              <w:tabs>
                <w:tab w:val="left" w:pos="360"/>
                <w:tab w:val="left" w:pos="3420"/>
                <w:tab w:val="left" w:pos="643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914">
              <w:rPr>
                <w:b/>
              </w:rPr>
              <w:t>Sachkosten:</w:t>
            </w:r>
          </w:p>
          <w:p w:rsidR="00FE69D9" w:rsidRPr="0082196B" w:rsidRDefault="003D1135" w:rsidP="00385914">
            <w:pPr>
              <w:tabs>
                <w:tab w:val="left" w:pos="360"/>
                <w:tab w:val="left" w:pos="3420"/>
                <w:tab w:val="left" w:pos="6435"/>
              </w:tabs>
              <w:autoSpaceDE w:val="0"/>
              <w:autoSpaceDN w:val="0"/>
              <w:adjustRightInd w:val="0"/>
              <w:jc w:val="both"/>
            </w:pPr>
            <w:r>
              <w:t xml:space="preserve">Eine Ampulle </w:t>
            </w:r>
            <w:r w:rsidR="00FE69D9" w:rsidRPr="0082196B">
              <w:t xml:space="preserve">Temozolomid intravenös </w:t>
            </w:r>
            <w:r>
              <w:t xml:space="preserve">a 100 mg kostet </w:t>
            </w:r>
            <w:r w:rsidR="00D21918">
              <w:t>ca. 334</w:t>
            </w:r>
            <w:r>
              <w:t xml:space="preserve"> € (inkl. MwSt.).</w:t>
            </w:r>
          </w:p>
          <w:p w:rsidR="00FE69D9" w:rsidRPr="0082196B" w:rsidRDefault="003D1135" w:rsidP="00385914">
            <w:pPr>
              <w:tabs>
                <w:tab w:val="left" w:pos="360"/>
                <w:tab w:val="left" w:pos="3420"/>
                <w:tab w:val="left" w:pos="6435"/>
              </w:tabs>
              <w:autoSpaceDE w:val="0"/>
              <w:autoSpaceDN w:val="0"/>
              <w:adjustRightInd w:val="0"/>
              <w:jc w:val="both"/>
            </w:pPr>
            <w:r>
              <w:t xml:space="preserve">Die </w:t>
            </w:r>
            <w:r w:rsidR="00FE69D9" w:rsidRPr="0082196B">
              <w:t>Tagestherapiekosten</w:t>
            </w:r>
            <w:r>
              <w:t xml:space="preserve"> für einen Patienten liegen je nach Dosis bei:</w:t>
            </w:r>
          </w:p>
          <w:p w:rsidR="00892F73" w:rsidRDefault="00892F73" w:rsidP="00385914">
            <w:pPr>
              <w:tabs>
                <w:tab w:val="left" w:pos="360"/>
                <w:tab w:val="left" w:pos="3420"/>
                <w:tab w:val="left" w:pos="6435"/>
              </w:tabs>
              <w:autoSpaceDE w:val="0"/>
              <w:autoSpaceDN w:val="0"/>
              <w:adjustRightInd w:val="0"/>
              <w:jc w:val="both"/>
            </w:pPr>
            <w:r>
              <w:t>Erwachsene:</w:t>
            </w:r>
          </w:p>
          <w:p w:rsidR="00892F73" w:rsidRDefault="00FE69D9" w:rsidP="00385914">
            <w:pPr>
              <w:tabs>
                <w:tab w:val="left" w:pos="360"/>
                <w:tab w:val="left" w:pos="3420"/>
                <w:tab w:val="left" w:pos="6435"/>
              </w:tabs>
              <w:autoSpaceDE w:val="0"/>
              <w:autoSpaceDN w:val="0"/>
              <w:adjustRightInd w:val="0"/>
              <w:jc w:val="both"/>
            </w:pPr>
            <w:r w:rsidRPr="00AB0403">
              <w:t>150 mg/m</w:t>
            </w:r>
            <w:r w:rsidR="008949D4" w:rsidRPr="00AB0403">
              <w:t>²</w:t>
            </w:r>
            <w:r w:rsidR="001F3B98">
              <w:t>/Tag</w:t>
            </w:r>
            <w:r w:rsidRPr="00AB0403">
              <w:t xml:space="preserve"> KOF</w:t>
            </w:r>
            <w:r w:rsidR="00AB0403" w:rsidRPr="00AB0403">
              <w:t>:</w:t>
            </w:r>
            <w:r w:rsidR="003D1135" w:rsidRPr="00AB0403">
              <w:t xml:space="preserve"> z.B. 2,0 m²</w:t>
            </w:r>
            <w:r w:rsidR="00892F73">
              <w:t>,</w:t>
            </w:r>
            <w:r w:rsidRPr="00AB0403">
              <w:t xml:space="preserve"> </w:t>
            </w:r>
            <w:r w:rsidR="00892F73">
              <w:t xml:space="preserve">abs. 300 mg: </w:t>
            </w:r>
            <w:r w:rsidR="00D21918">
              <w:t>1.002</w:t>
            </w:r>
            <w:r w:rsidRPr="00AB0403">
              <w:t xml:space="preserve"> €</w:t>
            </w:r>
            <w:r w:rsidR="00AB0403">
              <w:t xml:space="preserve"> (3 Amp.)</w:t>
            </w:r>
            <w:r w:rsidR="001F3B98">
              <w:t xml:space="preserve">, für 5 Tage </w:t>
            </w:r>
            <w:r w:rsidR="00D21918">
              <w:t>5.010</w:t>
            </w:r>
            <w:r w:rsidR="001F3B98">
              <w:t xml:space="preserve"> €</w:t>
            </w:r>
          </w:p>
          <w:p w:rsidR="00892F73" w:rsidRDefault="00FE69D9" w:rsidP="00385914">
            <w:pPr>
              <w:tabs>
                <w:tab w:val="left" w:pos="360"/>
                <w:tab w:val="left" w:pos="3420"/>
                <w:tab w:val="left" w:pos="6435"/>
              </w:tabs>
              <w:autoSpaceDE w:val="0"/>
              <w:autoSpaceDN w:val="0"/>
              <w:adjustRightInd w:val="0"/>
              <w:jc w:val="both"/>
            </w:pPr>
            <w:r w:rsidRPr="0082196B">
              <w:t>200 mg/m</w:t>
            </w:r>
            <w:r w:rsidR="008949D4" w:rsidRPr="0082196B">
              <w:t>²</w:t>
            </w:r>
            <w:r w:rsidR="001F3B98">
              <w:t>/Tag</w:t>
            </w:r>
            <w:r w:rsidR="00AB0403">
              <w:t xml:space="preserve"> KOF</w:t>
            </w:r>
            <w:r w:rsidR="00474B0C">
              <w:t>:</w:t>
            </w:r>
            <w:r w:rsidR="00AB0403">
              <w:t xml:space="preserve"> z.B. 2,0 m²</w:t>
            </w:r>
            <w:r w:rsidR="00892F73">
              <w:t xml:space="preserve">, abs. 400 mg: </w:t>
            </w:r>
            <w:r w:rsidR="00024DE5">
              <w:t>1.</w:t>
            </w:r>
            <w:r w:rsidR="00D21918">
              <w:t>33</w:t>
            </w:r>
            <w:r w:rsidR="006466FD">
              <w:t>6</w:t>
            </w:r>
            <w:r w:rsidR="00024DE5">
              <w:t xml:space="preserve"> €</w:t>
            </w:r>
            <w:r w:rsidR="00043849">
              <w:t xml:space="preserve"> </w:t>
            </w:r>
            <w:r w:rsidR="00AB0403">
              <w:t xml:space="preserve">(4 Amp.), </w:t>
            </w:r>
            <w:r w:rsidR="001F3B98">
              <w:t xml:space="preserve">für 5 Tage </w:t>
            </w:r>
            <w:r w:rsidR="00024DE5">
              <w:t>6</w:t>
            </w:r>
            <w:r w:rsidR="009F00F5">
              <w:t>.</w:t>
            </w:r>
            <w:r w:rsidR="00D21918">
              <w:t>680</w:t>
            </w:r>
            <w:r w:rsidR="001F3B98">
              <w:t xml:space="preserve"> €</w:t>
            </w:r>
          </w:p>
          <w:p w:rsidR="00892F73" w:rsidRDefault="00892F73" w:rsidP="00385914">
            <w:pPr>
              <w:tabs>
                <w:tab w:val="left" w:pos="360"/>
                <w:tab w:val="left" w:pos="3420"/>
                <w:tab w:val="left" w:pos="6435"/>
              </w:tabs>
              <w:autoSpaceDE w:val="0"/>
              <w:autoSpaceDN w:val="0"/>
              <w:adjustRightInd w:val="0"/>
              <w:jc w:val="both"/>
            </w:pPr>
            <w:r>
              <w:t>Kinder</w:t>
            </w:r>
            <w:r w:rsidR="001F3B98">
              <w:t>:</w:t>
            </w:r>
          </w:p>
          <w:p w:rsidR="00892F73" w:rsidRDefault="00892F73" w:rsidP="00892F73">
            <w:pPr>
              <w:tabs>
                <w:tab w:val="left" w:pos="360"/>
                <w:tab w:val="left" w:pos="3420"/>
                <w:tab w:val="left" w:pos="6435"/>
              </w:tabs>
              <w:autoSpaceDE w:val="0"/>
              <w:autoSpaceDN w:val="0"/>
              <w:adjustRightInd w:val="0"/>
              <w:jc w:val="both"/>
            </w:pPr>
            <w:r w:rsidRPr="00AB0403">
              <w:t>150 mg/m²</w:t>
            </w:r>
            <w:r w:rsidR="001F3B98">
              <w:t>/Tag</w:t>
            </w:r>
            <w:r w:rsidRPr="00AB0403">
              <w:t xml:space="preserve"> KOF: z.B. </w:t>
            </w:r>
            <w:r>
              <w:t>1</w:t>
            </w:r>
            <w:r w:rsidRPr="00AB0403">
              <w:t>,0 m²</w:t>
            </w:r>
            <w:r>
              <w:t>,</w:t>
            </w:r>
            <w:r w:rsidRPr="00AB0403">
              <w:t xml:space="preserve"> </w:t>
            </w:r>
            <w:r>
              <w:t xml:space="preserve">abs. 150 mg: </w:t>
            </w:r>
            <w:r w:rsidR="00D21918">
              <w:t>501</w:t>
            </w:r>
            <w:r w:rsidRPr="00AB0403">
              <w:t xml:space="preserve"> €</w:t>
            </w:r>
            <w:r>
              <w:t xml:space="preserve"> (</w:t>
            </w:r>
            <w:r w:rsidR="001F3B98">
              <w:t>1,5</w:t>
            </w:r>
            <w:r>
              <w:t xml:space="preserve"> Amp.)</w:t>
            </w:r>
            <w:r w:rsidRPr="00AB0403">
              <w:t xml:space="preserve">, </w:t>
            </w:r>
            <w:r w:rsidR="001F3B98">
              <w:t xml:space="preserve">für 5 Tage </w:t>
            </w:r>
            <w:r w:rsidR="00D21918">
              <w:t>2.505</w:t>
            </w:r>
            <w:r w:rsidR="001F3B98">
              <w:t xml:space="preserve"> €</w:t>
            </w:r>
          </w:p>
          <w:p w:rsidR="00892F73" w:rsidRDefault="001F3B98" w:rsidP="00892F73">
            <w:pPr>
              <w:tabs>
                <w:tab w:val="left" w:pos="360"/>
                <w:tab w:val="left" w:pos="3420"/>
                <w:tab w:val="left" w:pos="6435"/>
              </w:tabs>
              <w:autoSpaceDE w:val="0"/>
              <w:autoSpaceDN w:val="0"/>
              <w:adjustRightInd w:val="0"/>
              <w:jc w:val="both"/>
            </w:pPr>
            <w:r w:rsidRPr="0082196B">
              <w:t>200 mg/m²</w:t>
            </w:r>
            <w:r>
              <w:t xml:space="preserve">/Tag KOF: </w:t>
            </w:r>
            <w:r w:rsidR="00892F73">
              <w:t>z.B. 1,0 m²</w:t>
            </w:r>
            <w:r>
              <w:t xml:space="preserve">, abs. 200 mg: </w:t>
            </w:r>
            <w:r w:rsidR="00D21918">
              <w:t>668</w:t>
            </w:r>
            <w:r>
              <w:t xml:space="preserve"> </w:t>
            </w:r>
            <w:r w:rsidR="00892F73">
              <w:t>€ (2 Amp.)</w:t>
            </w:r>
            <w:r>
              <w:t xml:space="preserve">; für 5 Tage </w:t>
            </w:r>
            <w:r w:rsidR="00D21918">
              <w:t>3.340</w:t>
            </w:r>
            <w:r>
              <w:t xml:space="preserve"> €</w:t>
            </w:r>
          </w:p>
          <w:p w:rsidR="00FE69D9" w:rsidRPr="0082196B" w:rsidRDefault="00FE69D9" w:rsidP="00385914">
            <w:pPr>
              <w:tabs>
                <w:tab w:val="left" w:pos="360"/>
                <w:tab w:val="left" w:pos="3420"/>
                <w:tab w:val="left" w:pos="6435"/>
              </w:tabs>
              <w:autoSpaceDE w:val="0"/>
              <w:autoSpaceDN w:val="0"/>
              <w:adjustRightInd w:val="0"/>
              <w:jc w:val="both"/>
            </w:pPr>
          </w:p>
          <w:p w:rsidR="001F3B98" w:rsidRDefault="00FE69D9" w:rsidP="00385914">
            <w:pPr>
              <w:tabs>
                <w:tab w:val="left" w:pos="360"/>
                <w:tab w:val="left" w:pos="3420"/>
                <w:tab w:val="left" w:pos="6435"/>
              </w:tabs>
              <w:autoSpaceDE w:val="0"/>
              <w:autoSpaceDN w:val="0"/>
              <w:adjustRightInd w:val="0"/>
              <w:jc w:val="both"/>
            </w:pPr>
            <w:r w:rsidRPr="0082196B">
              <w:t>Pro stationärem Aufenthalt ist mit einem Zyklus Chemotherapie zu rechnen.</w:t>
            </w:r>
            <w:r w:rsidR="001F3B98">
              <w:t xml:space="preserve"> Je nach Therapieschema umfasst ein Zyklus 5 bis 7 Tage a 150 bis 200 mg/m²/Tag alle </w:t>
            </w:r>
            <w:r w:rsidR="00F2171F">
              <w:t>3-</w:t>
            </w:r>
            <w:r w:rsidR="001F3B98">
              <w:t>4 Wochen oder bis zu 4</w:t>
            </w:r>
            <w:r w:rsidR="00F2171F">
              <w:t>9</w:t>
            </w:r>
            <w:r w:rsidR="001F3B98">
              <w:t xml:space="preserve"> Tage a 75 mg/m²/Tag während einer Strahlentherapie.</w:t>
            </w:r>
          </w:p>
          <w:p w:rsidR="00FE69D9" w:rsidRDefault="001F3B98" w:rsidP="00385914">
            <w:pPr>
              <w:tabs>
                <w:tab w:val="left" w:pos="360"/>
                <w:tab w:val="left" w:pos="3420"/>
                <w:tab w:val="left" w:pos="6435"/>
              </w:tabs>
              <w:autoSpaceDE w:val="0"/>
              <w:autoSpaceDN w:val="0"/>
              <w:adjustRightInd w:val="0"/>
              <w:jc w:val="both"/>
            </w:pPr>
            <w:r>
              <w:t xml:space="preserve">Im Rahmen </w:t>
            </w:r>
            <w:r w:rsidR="00E20B1F">
              <w:t>ein</w:t>
            </w:r>
            <w:r>
              <w:t>er metronomischen Therapie über 42 Tage sind kumulativ deutlich höhere Therapiekosten zu erwarten:</w:t>
            </w:r>
          </w:p>
          <w:p w:rsidR="00E07EEB" w:rsidRDefault="00E07EEB" w:rsidP="00E07EEB">
            <w:pPr>
              <w:tabs>
                <w:tab w:val="left" w:pos="360"/>
                <w:tab w:val="left" w:pos="3420"/>
                <w:tab w:val="left" w:pos="6435"/>
              </w:tabs>
              <w:autoSpaceDE w:val="0"/>
              <w:autoSpaceDN w:val="0"/>
              <w:adjustRightInd w:val="0"/>
              <w:jc w:val="both"/>
            </w:pPr>
            <w:r>
              <w:t>75</w:t>
            </w:r>
            <w:r w:rsidRPr="00AB0403">
              <w:t xml:space="preserve"> mg/m²</w:t>
            </w:r>
            <w:r>
              <w:t>/Tag</w:t>
            </w:r>
            <w:r w:rsidRPr="00AB0403">
              <w:t xml:space="preserve"> KOF: z.B. 2,0 m²</w:t>
            </w:r>
            <w:r>
              <w:t>,</w:t>
            </w:r>
            <w:r w:rsidRPr="00AB0403">
              <w:t xml:space="preserve"> </w:t>
            </w:r>
            <w:r>
              <w:t xml:space="preserve">abs. 150 mg: </w:t>
            </w:r>
            <w:r w:rsidR="00D21918">
              <w:t xml:space="preserve">501 </w:t>
            </w:r>
            <w:r w:rsidR="009F00F5" w:rsidRPr="00AB0403">
              <w:t>€</w:t>
            </w:r>
            <w:r w:rsidR="009F00F5">
              <w:t xml:space="preserve"> </w:t>
            </w:r>
            <w:r w:rsidR="00F2171F">
              <w:t>(1,5 Amp.), für 42</w:t>
            </w:r>
            <w:r>
              <w:t xml:space="preserve"> Tage </w:t>
            </w:r>
            <w:r w:rsidR="00D21918">
              <w:t>21.042</w:t>
            </w:r>
            <w:r>
              <w:t xml:space="preserve"> €</w:t>
            </w:r>
          </w:p>
          <w:p w:rsidR="00E07EEB" w:rsidRDefault="00E07EEB" w:rsidP="00E07EEB">
            <w:pPr>
              <w:tabs>
                <w:tab w:val="left" w:pos="360"/>
                <w:tab w:val="left" w:pos="3420"/>
                <w:tab w:val="left" w:pos="6435"/>
              </w:tabs>
              <w:autoSpaceDE w:val="0"/>
              <w:autoSpaceDN w:val="0"/>
              <w:adjustRightInd w:val="0"/>
              <w:jc w:val="both"/>
            </w:pPr>
            <w:r>
              <w:t>75</w:t>
            </w:r>
            <w:r w:rsidRPr="00AB0403">
              <w:t xml:space="preserve"> mg/m²</w:t>
            </w:r>
            <w:r>
              <w:t>/Tag</w:t>
            </w:r>
            <w:r w:rsidRPr="00AB0403">
              <w:t xml:space="preserve"> KOF: z.B. </w:t>
            </w:r>
            <w:r>
              <w:t>1</w:t>
            </w:r>
            <w:r w:rsidRPr="00AB0403">
              <w:t>,0 m²</w:t>
            </w:r>
            <w:r>
              <w:t>,</w:t>
            </w:r>
            <w:r w:rsidRPr="00AB0403">
              <w:t xml:space="preserve"> </w:t>
            </w:r>
            <w:r>
              <w:t xml:space="preserve">abs. 75 mg: </w:t>
            </w:r>
            <w:r w:rsidR="00E768B7">
              <w:t>2</w:t>
            </w:r>
            <w:r w:rsidR="00D21918">
              <w:t>50</w:t>
            </w:r>
            <w:r w:rsidR="009F00F5">
              <w:t>,</w:t>
            </w:r>
            <w:r w:rsidR="00D21918">
              <w:t>50</w:t>
            </w:r>
            <w:r w:rsidRPr="00AB0403">
              <w:t xml:space="preserve"> €</w:t>
            </w:r>
            <w:r>
              <w:t xml:space="preserve"> (</w:t>
            </w:r>
            <w:r w:rsidR="00E20B1F">
              <w:t>0,75</w:t>
            </w:r>
            <w:r>
              <w:t xml:space="preserve"> Amp.), für 42 Tage </w:t>
            </w:r>
            <w:r w:rsidR="00D21918">
              <w:t xml:space="preserve">10.512 </w:t>
            </w:r>
            <w:r>
              <w:t>€</w:t>
            </w:r>
          </w:p>
          <w:p w:rsidR="00E07EEB" w:rsidRDefault="00E07EEB" w:rsidP="00385914">
            <w:pPr>
              <w:tabs>
                <w:tab w:val="left" w:pos="360"/>
                <w:tab w:val="left" w:pos="3420"/>
                <w:tab w:val="left" w:pos="6435"/>
              </w:tabs>
              <w:autoSpaceDE w:val="0"/>
              <w:autoSpaceDN w:val="0"/>
              <w:adjustRightInd w:val="0"/>
              <w:jc w:val="both"/>
            </w:pPr>
          </w:p>
          <w:p w:rsidR="00AA6825" w:rsidRDefault="00474B0C" w:rsidP="00385914">
            <w:pPr>
              <w:tabs>
                <w:tab w:val="left" w:pos="360"/>
                <w:tab w:val="left" w:pos="3420"/>
                <w:tab w:val="left" w:pos="6435"/>
              </w:tabs>
              <w:autoSpaceDE w:val="0"/>
              <w:autoSpaceDN w:val="0"/>
              <w:adjustRightInd w:val="0"/>
              <w:jc w:val="both"/>
            </w:pPr>
            <w:r>
              <w:t xml:space="preserve">Die Therapiekosten </w:t>
            </w:r>
            <w:r w:rsidR="00E768B7">
              <w:t xml:space="preserve">betragen etwa das </w:t>
            </w:r>
            <w:r w:rsidR="002908EB">
              <w:t>3</w:t>
            </w:r>
            <w:r w:rsidR="00E768B7">
              <w:t xml:space="preserve">fache gegenüber der </w:t>
            </w:r>
            <w:r>
              <w:t>orale</w:t>
            </w:r>
            <w:r w:rsidR="00E768B7">
              <w:t>n</w:t>
            </w:r>
            <w:r>
              <w:t xml:space="preserve"> Gabe von Temo</w:t>
            </w:r>
            <w:r w:rsidR="00F15277">
              <w:t>zolomid.</w:t>
            </w:r>
          </w:p>
          <w:p w:rsidR="00672D5E" w:rsidRPr="00385914" w:rsidRDefault="00672D5E" w:rsidP="00385914">
            <w:pPr>
              <w:jc w:val="both"/>
              <w:rPr>
                <w:b/>
              </w:rPr>
            </w:pPr>
          </w:p>
          <w:p w:rsidR="00672D5E" w:rsidRDefault="00672D5E" w:rsidP="00385914">
            <w:pPr>
              <w:jc w:val="both"/>
            </w:pPr>
            <w:r w:rsidRPr="00385914">
              <w:rPr>
                <w:b/>
              </w:rPr>
              <w:t>Personalkosten:</w:t>
            </w:r>
            <w:r w:rsidRPr="004562B4">
              <w:t xml:space="preserve"> </w:t>
            </w:r>
          </w:p>
          <w:p w:rsidR="000B11AE" w:rsidRPr="00385914" w:rsidRDefault="00672D5E" w:rsidP="00385914">
            <w:pPr>
              <w:tabs>
                <w:tab w:val="left" w:pos="360"/>
                <w:tab w:val="left" w:pos="3420"/>
                <w:tab w:val="left" w:pos="643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2114C">
              <w:t>ca. 10 Pflegeminuten</w:t>
            </w:r>
            <w:r>
              <w:t>,</w:t>
            </w:r>
            <w:r w:rsidRPr="0072114C">
              <w:t xml:space="preserve"> 10 Arztminuten</w:t>
            </w:r>
            <w:r>
              <w:t>, 10 Min Apotheke</w:t>
            </w:r>
            <w:r w:rsidRPr="0072114C">
              <w:t>.</w:t>
            </w:r>
          </w:p>
        </w:tc>
      </w:tr>
    </w:tbl>
    <w:p w:rsidR="00AA6825" w:rsidRPr="0082196B" w:rsidRDefault="00AA6825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AA6825" w:rsidRPr="00385914">
        <w:tc>
          <w:tcPr>
            <w:tcW w:w="9333" w:type="dxa"/>
          </w:tcPr>
          <w:p w:rsidR="00AA6825" w:rsidRPr="00385914" w:rsidRDefault="0064111C" w:rsidP="0038591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914">
              <w:rPr>
                <w:b/>
                <w:bCs/>
              </w:rPr>
              <w:lastRenderedPageBreak/>
              <w:t>4.2 Welche DRG(s) ist/sind am häufigsten von dieser Methode betroffen?</w:t>
            </w:r>
          </w:p>
        </w:tc>
      </w:tr>
      <w:tr w:rsidR="00AA6825" w:rsidRPr="00385914">
        <w:tc>
          <w:tcPr>
            <w:tcW w:w="9333" w:type="dxa"/>
          </w:tcPr>
          <w:p w:rsidR="008949D4" w:rsidRPr="0082196B" w:rsidRDefault="008949D4" w:rsidP="0038591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</w:pPr>
            <w:r w:rsidRPr="0082196B">
              <w:t>Basis-DRGs</w:t>
            </w:r>
          </w:p>
          <w:p w:rsidR="008949D4" w:rsidRPr="0082196B" w:rsidRDefault="008949D4" w:rsidP="0038591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</w:pPr>
            <w:r w:rsidRPr="0082196B">
              <w:t xml:space="preserve">B15, B16 bei operativer Therapie im gleichen Aufenthalt, </w:t>
            </w:r>
          </w:p>
          <w:p w:rsidR="00AA6825" w:rsidRPr="00385914" w:rsidRDefault="008949D4" w:rsidP="0038591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2196B">
              <w:t>B66 bei konservativer Therapie.</w:t>
            </w:r>
          </w:p>
        </w:tc>
      </w:tr>
    </w:tbl>
    <w:p w:rsidR="0064111C" w:rsidRPr="0082196B" w:rsidRDefault="0064111C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64111C" w:rsidRPr="00385914">
        <w:tc>
          <w:tcPr>
            <w:tcW w:w="9333" w:type="dxa"/>
          </w:tcPr>
          <w:p w:rsidR="0064111C" w:rsidRPr="00385914" w:rsidRDefault="0064111C" w:rsidP="0038591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914">
              <w:rPr>
                <w:b/>
                <w:bCs/>
              </w:rPr>
              <w:t>4.3 Warum ist diese Methode aus Ihrer Sicht derzeit im G-DRG-System nicht sachgerecht abgebildet?</w:t>
            </w:r>
          </w:p>
        </w:tc>
      </w:tr>
      <w:tr w:rsidR="0064111C" w:rsidRPr="00385914">
        <w:tc>
          <w:tcPr>
            <w:tcW w:w="9333" w:type="dxa"/>
          </w:tcPr>
          <w:p w:rsidR="008949D4" w:rsidRPr="0082196B" w:rsidRDefault="008949D4" w:rsidP="0038591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</w:pPr>
            <w:r w:rsidRPr="0082196B">
              <w:t xml:space="preserve">Temozolomid i.v. wurde erst 2009 zugelassen. Dementsprechend liegen noch ungenügende Kosten- und Leistungsinformationen in den Krankenhäusern vor, so dass bei Ermittlung des G-DRG Fallpauschalen-Katalogs </w:t>
            </w:r>
            <w:r w:rsidR="006466FD">
              <w:t>201</w:t>
            </w:r>
            <w:r w:rsidR="008D719F">
              <w:t>6</w:t>
            </w:r>
            <w:r w:rsidR="006466FD">
              <w:t xml:space="preserve"> und 201</w:t>
            </w:r>
            <w:r w:rsidR="008D719F">
              <w:t>7</w:t>
            </w:r>
            <w:r w:rsidR="00B523A6">
              <w:t xml:space="preserve"> </w:t>
            </w:r>
            <w:r w:rsidRPr="0082196B">
              <w:t xml:space="preserve">eine sachgerechte Abbildung </w:t>
            </w:r>
            <w:r w:rsidR="00281CEF">
              <w:t xml:space="preserve">noch </w:t>
            </w:r>
            <w:r w:rsidRPr="0082196B">
              <w:t>nicht möglich war.</w:t>
            </w:r>
          </w:p>
          <w:p w:rsidR="00262CF6" w:rsidRPr="00385914" w:rsidRDefault="008949D4" w:rsidP="00E20B1F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2196B">
              <w:t xml:space="preserve">Aufgrund der hohen Kosten des Medikaments kommt es ohne Abbildung </w:t>
            </w:r>
            <w:r w:rsidR="00F15277">
              <w:t xml:space="preserve">im G-DRG-System </w:t>
            </w:r>
            <w:r w:rsidRPr="0082196B">
              <w:t xml:space="preserve">zum Beispiel als </w:t>
            </w:r>
            <w:r w:rsidR="00F15277">
              <w:t>D</w:t>
            </w:r>
            <w:r w:rsidR="00C03029" w:rsidRPr="0082196B">
              <w:t>osis</w:t>
            </w:r>
            <w:r w:rsidR="00F15277">
              <w:t>-</w:t>
            </w:r>
            <w:r w:rsidR="00C03029" w:rsidRPr="0082196B">
              <w:t>gestaffelte</w:t>
            </w:r>
            <w:r w:rsidR="00F15277">
              <w:t>r</w:t>
            </w:r>
            <w:r w:rsidR="00C03029" w:rsidRPr="0082196B">
              <w:t xml:space="preserve"> </w:t>
            </w:r>
            <w:r w:rsidR="004816EF" w:rsidRPr="0082196B">
              <w:t>OPS-Code</w:t>
            </w:r>
            <w:r w:rsidRPr="0082196B">
              <w:t xml:space="preserve"> analog Temozolomid oral (ZE78) zu einer Schieflage in der Vergütung in den betroffenen DRGs.</w:t>
            </w:r>
            <w:r w:rsidR="004816EF" w:rsidRPr="0082196B">
              <w:t xml:space="preserve"> Die </w:t>
            </w:r>
            <w:r w:rsidR="00DE59CA" w:rsidRPr="0082196B">
              <w:t xml:space="preserve">deutlich </w:t>
            </w:r>
            <w:r w:rsidR="004816EF" w:rsidRPr="0082196B">
              <w:t>höheren Kosten der iv</w:t>
            </w:r>
            <w:r w:rsidR="00F15277">
              <w:t>-</w:t>
            </w:r>
            <w:r w:rsidR="004816EF" w:rsidRPr="0082196B">
              <w:t xml:space="preserve">Applikationsform </w:t>
            </w:r>
            <w:r w:rsidR="00E20B1F">
              <w:t>erfordern</w:t>
            </w:r>
            <w:r w:rsidR="004816EF" w:rsidRPr="0082196B">
              <w:t xml:space="preserve"> eine v</w:t>
            </w:r>
            <w:r w:rsidR="00DE59CA" w:rsidRPr="0082196B">
              <w:t xml:space="preserve">om </w:t>
            </w:r>
            <w:r w:rsidR="00E20B1F">
              <w:t xml:space="preserve">oralen </w:t>
            </w:r>
            <w:r w:rsidR="00DE59CA" w:rsidRPr="0082196B">
              <w:t>Temozolomid unabhängige Vergütung.</w:t>
            </w:r>
          </w:p>
        </w:tc>
      </w:tr>
    </w:tbl>
    <w:p w:rsidR="0064111C" w:rsidRPr="0082196B" w:rsidRDefault="0064111C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3"/>
      </w:tblGrid>
      <w:tr w:rsidR="0064111C" w:rsidRPr="00385914">
        <w:tc>
          <w:tcPr>
            <w:tcW w:w="9333" w:type="dxa"/>
          </w:tcPr>
          <w:p w:rsidR="0064111C" w:rsidRPr="00385914" w:rsidRDefault="00C0480A" w:rsidP="0038591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85914">
              <w:rPr>
                <w:b/>
                <w:bCs/>
              </w:rPr>
              <w:t>4.4 Wurde für diese Methode bereits eine Anfrage gemäß § 6 Abs. 2 KHEntgG beim InEK gestellt</w:t>
            </w:r>
            <w:r w:rsidRPr="00385914">
              <w:rPr>
                <w:b/>
              </w:rPr>
              <w:t>?</w:t>
            </w:r>
          </w:p>
        </w:tc>
      </w:tr>
      <w:tr w:rsidR="0064111C" w:rsidRPr="00385914">
        <w:tc>
          <w:tcPr>
            <w:tcW w:w="9333" w:type="dxa"/>
          </w:tcPr>
          <w:p w:rsidR="00C0480A" w:rsidRPr="0082196B" w:rsidRDefault="00C0480A" w:rsidP="00385914">
            <w:pPr>
              <w:autoSpaceDE w:val="0"/>
              <w:autoSpaceDN w:val="0"/>
              <w:adjustRightInd w:val="0"/>
              <w:jc w:val="both"/>
            </w:pPr>
            <w:r w:rsidRPr="0082196B">
              <w:t>Wenn Sie für die angefragte Methode bereits in den vergangenen Jahren eine Anfrage gemäß § 6 Abs. 2 KHEntgG gestellt haben, kreuzen Sie bitte „Von Ihrem Krankenhaus“ an. Wenn Ihnen bekannt ist, dass ein anderes Krankenhaus für die von Ihnen aktuell angefra</w:t>
            </w:r>
            <w:r w:rsidR="00974659">
              <w:t>gte Methode bereits eine A</w:t>
            </w:r>
            <w:r w:rsidRPr="0082196B">
              <w:t>nfrage gemäß § 6 Abs. 2 KHEntgG gestellt hat, kreuzen Sie bitte „Von einem anderen Krankenhaus“ an. Ansonsten kreuzen Sie bitte nichts an.</w:t>
            </w:r>
          </w:p>
          <w:p w:rsidR="00C0480A" w:rsidRPr="0082196B" w:rsidRDefault="00C0480A" w:rsidP="00385914">
            <w:pPr>
              <w:tabs>
                <w:tab w:val="left" w:pos="720"/>
                <w:tab w:val="left" w:pos="1440"/>
              </w:tabs>
              <w:autoSpaceDE w:val="0"/>
              <w:autoSpaceDN w:val="0"/>
              <w:adjustRightInd w:val="0"/>
              <w:jc w:val="both"/>
            </w:pPr>
            <w:r w:rsidRPr="0082196B">
              <w:tab/>
              <w:t xml:space="preserve">Von ihrem Krankenhaus </w:t>
            </w:r>
            <w:r w:rsidRPr="00385914">
              <w:rPr>
                <w:highlight w:val="yellow"/>
              </w:rPr>
              <w:t>XX</w:t>
            </w:r>
          </w:p>
          <w:p w:rsidR="0064111C" w:rsidRPr="00385914" w:rsidRDefault="00C0480A" w:rsidP="00385914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2196B">
              <w:tab/>
            </w:r>
            <w:r w:rsidRPr="0082196B">
              <w:tab/>
              <w:t xml:space="preserve">Von einem anderen Krankenhaus (falls Ihnen bekannt) </w:t>
            </w:r>
            <w:r w:rsidRPr="00385914">
              <w:rPr>
                <w:b/>
              </w:rPr>
              <w:t>Ja</w:t>
            </w:r>
            <w:r w:rsidRPr="0082196B">
              <w:t>.</w:t>
            </w:r>
          </w:p>
        </w:tc>
      </w:tr>
    </w:tbl>
    <w:p w:rsidR="00C0480A" w:rsidRPr="0082196B" w:rsidRDefault="00C0480A" w:rsidP="002202B2">
      <w:pPr>
        <w:tabs>
          <w:tab w:val="left" w:pos="360"/>
        </w:tabs>
        <w:autoSpaceDE w:val="0"/>
        <w:autoSpaceDN w:val="0"/>
        <w:adjustRightInd w:val="0"/>
        <w:ind w:left="357" w:hanging="357"/>
        <w:jc w:val="both"/>
      </w:pPr>
    </w:p>
    <w:sectPr w:rsidR="00C0480A" w:rsidRPr="0082196B" w:rsidSect="00220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253" w:rsidRDefault="00250253">
      <w:r>
        <w:separator/>
      </w:r>
    </w:p>
  </w:endnote>
  <w:endnote w:type="continuationSeparator" w:id="0">
    <w:p w:rsidR="00250253" w:rsidRDefault="0025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MU CompatilFact">
    <w:altName w:val="Bell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883" w:rsidRDefault="00C8288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883" w:rsidRDefault="00474B0C" w:rsidP="00061A53">
    <w:pPr>
      <w:pStyle w:val="Fuzeile"/>
      <w:rPr>
        <w:sz w:val="20"/>
        <w:szCs w:val="20"/>
      </w:rPr>
    </w:pPr>
    <w:r w:rsidRPr="00061A53">
      <w:rPr>
        <w:sz w:val="20"/>
        <w:szCs w:val="20"/>
      </w:rPr>
      <w:t>Arbeitsgruppe DRG der Gesellschaft für Pädiatrische</w:t>
    </w:r>
    <w:r w:rsidR="0042682A">
      <w:rPr>
        <w:sz w:val="20"/>
        <w:szCs w:val="20"/>
      </w:rPr>
      <w:t xml:space="preserve"> Onkologie und Hämatologie e.V.</w:t>
    </w:r>
    <w:r w:rsidRPr="00061A53">
      <w:rPr>
        <w:sz w:val="20"/>
        <w:szCs w:val="20"/>
      </w:rPr>
      <w:t xml:space="preserve"> </w:t>
    </w:r>
  </w:p>
  <w:p w:rsidR="00474B0C" w:rsidRPr="00061A53" w:rsidRDefault="00063850" w:rsidP="00061A53">
    <w:pPr>
      <w:pStyle w:val="Fuzeile"/>
      <w:rPr>
        <w:sz w:val="20"/>
        <w:szCs w:val="20"/>
      </w:rPr>
    </w:pPr>
    <w:hyperlink r:id="rId1" w:history="1">
      <w:r w:rsidR="00DA516C" w:rsidRPr="00061FDB">
        <w:rPr>
          <w:rStyle w:val="Hyperlink"/>
          <w:sz w:val="20"/>
          <w:szCs w:val="20"/>
        </w:rPr>
        <w:t>www.gpoh.de</w:t>
      </w:r>
    </w:hyperlink>
  </w:p>
  <w:p w:rsidR="00474B0C" w:rsidRPr="00061A53" w:rsidRDefault="006945BD" w:rsidP="00061A53">
    <w:pPr>
      <w:pStyle w:val="Fuzeile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339F3849" wp14:editId="7E3F062F">
          <wp:simplePos x="0" y="0"/>
          <wp:positionH relativeFrom="column">
            <wp:posOffset>5274310</wp:posOffset>
          </wp:positionH>
          <wp:positionV relativeFrom="paragraph">
            <wp:posOffset>37465</wp:posOffset>
          </wp:positionV>
          <wp:extent cx="927100" cy="314325"/>
          <wp:effectExtent l="0" t="0" r="6350" b="9525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B0C" w:rsidRPr="00061A53">
      <w:rPr>
        <w:snapToGrid w:val="0"/>
        <w:sz w:val="20"/>
        <w:szCs w:val="20"/>
      </w:rPr>
      <w:t xml:space="preserve">Seite </w:t>
    </w:r>
    <w:r w:rsidR="00474B0C" w:rsidRPr="00061A53">
      <w:rPr>
        <w:snapToGrid w:val="0"/>
        <w:sz w:val="20"/>
        <w:szCs w:val="20"/>
      </w:rPr>
      <w:fldChar w:fldCharType="begin"/>
    </w:r>
    <w:r w:rsidR="00474B0C" w:rsidRPr="00061A53">
      <w:rPr>
        <w:snapToGrid w:val="0"/>
        <w:sz w:val="20"/>
        <w:szCs w:val="20"/>
      </w:rPr>
      <w:instrText xml:space="preserve"> PAGE </w:instrText>
    </w:r>
    <w:r w:rsidR="00474B0C" w:rsidRPr="00061A53">
      <w:rPr>
        <w:snapToGrid w:val="0"/>
        <w:sz w:val="20"/>
        <w:szCs w:val="20"/>
      </w:rPr>
      <w:fldChar w:fldCharType="separate"/>
    </w:r>
    <w:r w:rsidR="00063850">
      <w:rPr>
        <w:noProof/>
        <w:snapToGrid w:val="0"/>
        <w:sz w:val="20"/>
        <w:szCs w:val="20"/>
      </w:rPr>
      <w:t>1</w:t>
    </w:r>
    <w:r w:rsidR="00474B0C" w:rsidRPr="00061A53">
      <w:rPr>
        <w:snapToGrid w:val="0"/>
        <w:sz w:val="20"/>
        <w:szCs w:val="20"/>
      </w:rPr>
      <w:fldChar w:fldCharType="end"/>
    </w:r>
    <w:r w:rsidR="00474B0C" w:rsidRPr="00061A53">
      <w:rPr>
        <w:snapToGrid w:val="0"/>
        <w:sz w:val="20"/>
        <w:szCs w:val="20"/>
      </w:rPr>
      <w:t xml:space="preserve"> von </w:t>
    </w:r>
    <w:r w:rsidR="00474B0C" w:rsidRPr="00061A53">
      <w:rPr>
        <w:snapToGrid w:val="0"/>
        <w:sz w:val="20"/>
        <w:szCs w:val="20"/>
      </w:rPr>
      <w:fldChar w:fldCharType="begin"/>
    </w:r>
    <w:r w:rsidR="00474B0C" w:rsidRPr="00061A53">
      <w:rPr>
        <w:snapToGrid w:val="0"/>
        <w:sz w:val="20"/>
        <w:szCs w:val="20"/>
      </w:rPr>
      <w:instrText xml:space="preserve"> NUMPAGES </w:instrText>
    </w:r>
    <w:r w:rsidR="00474B0C" w:rsidRPr="00061A53">
      <w:rPr>
        <w:snapToGrid w:val="0"/>
        <w:sz w:val="20"/>
        <w:szCs w:val="20"/>
      </w:rPr>
      <w:fldChar w:fldCharType="separate"/>
    </w:r>
    <w:r w:rsidR="00063850">
      <w:rPr>
        <w:noProof/>
        <w:snapToGrid w:val="0"/>
        <w:sz w:val="20"/>
        <w:szCs w:val="20"/>
      </w:rPr>
      <w:t>4</w:t>
    </w:r>
    <w:r w:rsidR="00474B0C" w:rsidRPr="00061A53">
      <w:rPr>
        <w:snapToGrid w:val="0"/>
        <w:sz w:val="20"/>
        <w:szCs w:val="20"/>
      </w:rPr>
      <w:fldChar w:fldCharType="end"/>
    </w:r>
  </w:p>
  <w:p w:rsidR="00474B0C" w:rsidRDefault="00C82883" w:rsidP="00061A53">
    <w:pPr>
      <w:pStyle w:val="Fuzeile"/>
    </w:pPr>
    <w:r w:rsidRPr="00061A53">
      <w:rPr>
        <w:sz w:val="20"/>
        <w:szCs w:val="20"/>
      </w:rPr>
      <w:t xml:space="preserve">Antrag – </w:t>
    </w:r>
    <w:r>
      <w:rPr>
        <w:sz w:val="20"/>
        <w:szCs w:val="20"/>
      </w:rPr>
      <w:t>Temozolomid iv FINAL 1</w:t>
    </w:r>
    <w:r w:rsidR="00876CE9">
      <w:rPr>
        <w:sz w:val="20"/>
        <w:szCs w:val="20"/>
      </w:rPr>
      <w:t>1</w:t>
    </w:r>
    <w:r>
      <w:rPr>
        <w:sz w:val="20"/>
        <w:szCs w:val="20"/>
      </w:rPr>
      <w:t>.10.2017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883" w:rsidRDefault="00C8288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253" w:rsidRDefault="00250253">
      <w:r>
        <w:separator/>
      </w:r>
    </w:p>
  </w:footnote>
  <w:footnote w:type="continuationSeparator" w:id="0">
    <w:p w:rsidR="00250253" w:rsidRDefault="0025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883" w:rsidRDefault="00C8288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B0C" w:rsidRDefault="00474B0C" w:rsidP="00241499">
    <w:pPr>
      <w:pStyle w:val="Kopfzeile"/>
      <w:tabs>
        <w:tab w:val="clear" w:pos="4536"/>
        <w:tab w:val="left" w:pos="3240"/>
      </w:tabs>
      <w:rPr>
        <w:rFonts w:ascii="LMU CompatilFact" w:hAnsi="LMU CompatilFact"/>
      </w:rPr>
    </w:pPr>
    <w:r>
      <w:t xml:space="preserve"> </w:t>
    </w:r>
    <w:r>
      <w:tab/>
    </w:r>
    <w:r w:rsidRPr="005F0285">
      <w:rPr>
        <w:b/>
        <w:sz w:val="24"/>
        <w:szCs w:val="24"/>
      </w:rPr>
      <w:t xml:space="preserve">NUB Antrag </w:t>
    </w:r>
    <w:r w:rsidR="008D719F">
      <w:rPr>
        <w:b/>
        <w:sz w:val="24"/>
        <w:szCs w:val="24"/>
      </w:rPr>
      <w:t>2017/2018</w:t>
    </w:r>
    <w:r>
      <w:rPr>
        <w:rFonts w:ascii="LMU CompatilFact" w:hAnsi="LMU CompatilFact"/>
      </w:rPr>
      <w:tab/>
    </w:r>
    <w:r w:rsidR="006945BD">
      <w:rPr>
        <w:rFonts w:ascii="LMU CompatilFact" w:hAnsi="LMU CompatilFact"/>
        <w:noProof/>
      </w:rPr>
      <w:drawing>
        <wp:inline distT="0" distB="0" distL="0" distR="0">
          <wp:extent cx="1642110" cy="6699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11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4B0C" w:rsidRDefault="00474B0C" w:rsidP="00241499">
    <w:pPr>
      <w:pStyle w:val="Kopfzeile"/>
      <w:tabs>
        <w:tab w:val="clear" w:pos="4536"/>
        <w:tab w:val="left" w:pos="32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883" w:rsidRDefault="00C8288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868CF"/>
    <w:multiLevelType w:val="multilevel"/>
    <w:tmpl w:val="6256D6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2A234DE4"/>
    <w:multiLevelType w:val="multilevel"/>
    <w:tmpl w:val="6256D6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2E2D377C"/>
    <w:multiLevelType w:val="hybridMultilevel"/>
    <w:tmpl w:val="7184598A"/>
    <w:lvl w:ilvl="0" w:tplc="1674D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B43DD3"/>
    <w:multiLevelType w:val="multilevel"/>
    <w:tmpl w:val="6256D6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37CE12C6"/>
    <w:multiLevelType w:val="hybridMultilevel"/>
    <w:tmpl w:val="DF0A40CC"/>
    <w:lvl w:ilvl="0" w:tplc="52AC0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F495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B4A0D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E8C9B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B56E0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BBEBB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606F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89C8E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728EF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1E56C3"/>
    <w:multiLevelType w:val="multilevel"/>
    <w:tmpl w:val="6256D6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3A87F3C"/>
    <w:multiLevelType w:val="multilevel"/>
    <w:tmpl w:val="6256D66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66297720"/>
    <w:multiLevelType w:val="hybridMultilevel"/>
    <w:tmpl w:val="D372435A"/>
    <w:lvl w:ilvl="0" w:tplc="462C9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C2AF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F85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3E0F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E880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76F6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DDAB8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C839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C65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4E"/>
    <w:rsid w:val="00024DE5"/>
    <w:rsid w:val="00035135"/>
    <w:rsid w:val="00043849"/>
    <w:rsid w:val="000516DD"/>
    <w:rsid w:val="00061A53"/>
    <w:rsid w:val="00063850"/>
    <w:rsid w:val="00064FAB"/>
    <w:rsid w:val="000650C0"/>
    <w:rsid w:val="00073EDD"/>
    <w:rsid w:val="0008265A"/>
    <w:rsid w:val="000A12BC"/>
    <w:rsid w:val="000B11AE"/>
    <w:rsid w:val="000C4741"/>
    <w:rsid w:val="000F1742"/>
    <w:rsid w:val="0011556C"/>
    <w:rsid w:val="00120EB8"/>
    <w:rsid w:val="00175FB3"/>
    <w:rsid w:val="001801C2"/>
    <w:rsid w:val="0018056D"/>
    <w:rsid w:val="00194830"/>
    <w:rsid w:val="0019533B"/>
    <w:rsid w:val="001B288A"/>
    <w:rsid w:val="001B313C"/>
    <w:rsid w:val="001F3B98"/>
    <w:rsid w:val="00204EFF"/>
    <w:rsid w:val="0020620B"/>
    <w:rsid w:val="002202B2"/>
    <w:rsid w:val="00224428"/>
    <w:rsid w:val="0022532B"/>
    <w:rsid w:val="00225A3A"/>
    <w:rsid w:val="00241499"/>
    <w:rsid w:val="002442D3"/>
    <w:rsid w:val="00250253"/>
    <w:rsid w:val="00262CF6"/>
    <w:rsid w:val="0027794F"/>
    <w:rsid w:val="00281CEF"/>
    <w:rsid w:val="002908EB"/>
    <w:rsid w:val="0029737A"/>
    <w:rsid w:val="002A4D41"/>
    <w:rsid w:val="002B243B"/>
    <w:rsid w:val="003031C7"/>
    <w:rsid w:val="003413B6"/>
    <w:rsid w:val="00363CFF"/>
    <w:rsid w:val="003661B3"/>
    <w:rsid w:val="0038460D"/>
    <w:rsid w:val="00385914"/>
    <w:rsid w:val="00394A9C"/>
    <w:rsid w:val="003D1135"/>
    <w:rsid w:val="003E61F9"/>
    <w:rsid w:val="003F6B0C"/>
    <w:rsid w:val="00421EB8"/>
    <w:rsid w:val="0042682A"/>
    <w:rsid w:val="0045256B"/>
    <w:rsid w:val="00474B0C"/>
    <w:rsid w:val="004816EF"/>
    <w:rsid w:val="00483013"/>
    <w:rsid w:val="00496EB7"/>
    <w:rsid w:val="004A0B92"/>
    <w:rsid w:val="004A1279"/>
    <w:rsid w:val="004B2AD2"/>
    <w:rsid w:val="004B4004"/>
    <w:rsid w:val="00501D32"/>
    <w:rsid w:val="005360E5"/>
    <w:rsid w:val="00541B1F"/>
    <w:rsid w:val="00566C32"/>
    <w:rsid w:val="005805ED"/>
    <w:rsid w:val="00593367"/>
    <w:rsid w:val="005A4A19"/>
    <w:rsid w:val="005A6199"/>
    <w:rsid w:val="005B5B63"/>
    <w:rsid w:val="005E7D6C"/>
    <w:rsid w:val="005F0285"/>
    <w:rsid w:val="006152F8"/>
    <w:rsid w:val="0064111C"/>
    <w:rsid w:val="006466FD"/>
    <w:rsid w:val="00672D5E"/>
    <w:rsid w:val="00674811"/>
    <w:rsid w:val="006845FA"/>
    <w:rsid w:val="0068664D"/>
    <w:rsid w:val="006945BD"/>
    <w:rsid w:val="006966EB"/>
    <w:rsid w:val="006E577D"/>
    <w:rsid w:val="006F7E71"/>
    <w:rsid w:val="00707C1D"/>
    <w:rsid w:val="007362DC"/>
    <w:rsid w:val="00770C34"/>
    <w:rsid w:val="007759C4"/>
    <w:rsid w:val="0079755B"/>
    <w:rsid w:val="007C1302"/>
    <w:rsid w:val="007D03FA"/>
    <w:rsid w:val="007E5FB3"/>
    <w:rsid w:val="007F65A6"/>
    <w:rsid w:val="00807B0C"/>
    <w:rsid w:val="0081454C"/>
    <w:rsid w:val="0082196B"/>
    <w:rsid w:val="00876CE9"/>
    <w:rsid w:val="00892F73"/>
    <w:rsid w:val="008949D4"/>
    <w:rsid w:val="008B0EDE"/>
    <w:rsid w:val="008D719F"/>
    <w:rsid w:val="00902F08"/>
    <w:rsid w:val="00937ADB"/>
    <w:rsid w:val="00974659"/>
    <w:rsid w:val="00990D31"/>
    <w:rsid w:val="009A4C4E"/>
    <w:rsid w:val="009D7238"/>
    <w:rsid w:val="009F00F5"/>
    <w:rsid w:val="00A0498C"/>
    <w:rsid w:val="00A06E5C"/>
    <w:rsid w:val="00A250A4"/>
    <w:rsid w:val="00A327F1"/>
    <w:rsid w:val="00A85A57"/>
    <w:rsid w:val="00A87609"/>
    <w:rsid w:val="00AA6825"/>
    <w:rsid w:val="00AB0403"/>
    <w:rsid w:val="00B160A9"/>
    <w:rsid w:val="00B523A6"/>
    <w:rsid w:val="00B8662B"/>
    <w:rsid w:val="00B91C13"/>
    <w:rsid w:val="00BB6403"/>
    <w:rsid w:val="00BF5428"/>
    <w:rsid w:val="00BF5658"/>
    <w:rsid w:val="00BF694A"/>
    <w:rsid w:val="00C03029"/>
    <w:rsid w:val="00C0480A"/>
    <w:rsid w:val="00C055BD"/>
    <w:rsid w:val="00C82883"/>
    <w:rsid w:val="00C93DCB"/>
    <w:rsid w:val="00CB13AD"/>
    <w:rsid w:val="00CF42D3"/>
    <w:rsid w:val="00D04C2B"/>
    <w:rsid w:val="00D21918"/>
    <w:rsid w:val="00D25761"/>
    <w:rsid w:val="00D261C5"/>
    <w:rsid w:val="00D366EC"/>
    <w:rsid w:val="00D4519B"/>
    <w:rsid w:val="00D706AD"/>
    <w:rsid w:val="00DA516C"/>
    <w:rsid w:val="00DD1B61"/>
    <w:rsid w:val="00DE59CA"/>
    <w:rsid w:val="00E07EEB"/>
    <w:rsid w:val="00E209B3"/>
    <w:rsid w:val="00E20B1F"/>
    <w:rsid w:val="00E478E4"/>
    <w:rsid w:val="00E47F53"/>
    <w:rsid w:val="00E66BC3"/>
    <w:rsid w:val="00E768B7"/>
    <w:rsid w:val="00E946E9"/>
    <w:rsid w:val="00EC1BC1"/>
    <w:rsid w:val="00EC3C17"/>
    <w:rsid w:val="00F15277"/>
    <w:rsid w:val="00F2171F"/>
    <w:rsid w:val="00F42BA8"/>
    <w:rsid w:val="00F74592"/>
    <w:rsid w:val="00FE03FF"/>
    <w:rsid w:val="00F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docId w15:val="{5CC14BBC-8DF3-43D6-9491-C94E2868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D03FA"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9A4C4E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rsid w:val="007362DC"/>
    <w:rPr>
      <w:rFonts w:ascii="Courier New" w:eastAsia="MS Mincho" w:hAnsi="Courier New" w:cs="Courier New"/>
      <w:sz w:val="20"/>
      <w:szCs w:val="20"/>
      <w:lang w:eastAsia="ja-JP"/>
    </w:rPr>
  </w:style>
  <w:style w:type="table" w:customStyle="1" w:styleId="Tabellengitternetz">
    <w:name w:val="Tabellengitternetz"/>
    <w:basedOn w:val="NormaleTabelle"/>
    <w:rsid w:val="00F4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61A53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A876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87609"/>
    <w:rPr>
      <w:rFonts w:ascii="Courier New" w:hAnsi="Courier New" w:cs="Courier New"/>
    </w:rPr>
  </w:style>
  <w:style w:type="character" w:customStyle="1" w:styleId="spelle">
    <w:name w:val="spelle"/>
    <w:rsid w:val="00A87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3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gpoh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1376</Words>
  <Characters>8674</Characters>
  <Application>Microsoft Office Word</Application>
  <DocSecurity>4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>Kliniken des Landkreises Heidenheim</Company>
  <LinksUpToDate>false</LinksUpToDate>
  <CharactersWithSpaces>10030</CharactersWithSpaces>
  <SharedDoc>false</SharedDoc>
  <HLinks>
    <vt:vector size="6" baseType="variant">
      <vt:variant>
        <vt:i4>6815788</vt:i4>
      </vt:variant>
      <vt:variant>
        <vt:i4>0</vt:i4>
      </vt:variant>
      <vt:variant>
        <vt:i4>0</vt:i4>
      </vt:variant>
      <vt:variant>
        <vt:i4>5</vt:i4>
      </vt:variant>
      <vt:variant>
        <vt:lpwstr>http://www.gpoh.de/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creator>flaemigu</dc:creator>
  <cp:lastModifiedBy>Dobke, Julia</cp:lastModifiedBy>
  <cp:revision>2</cp:revision>
  <cp:lastPrinted>2010-08-22T18:27:00Z</cp:lastPrinted>
  <dcterms:created xsi:type="dcterms:W3CDTF">2017-10-13T06:40:00Z</dcterms:created>
  <dcterms:modified xsi:type="dcterms:W3CDTF">2017-10-13T06:40:00Z</dcterms:modified>
</cp:coreProperties>
</file>