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3921D44" w14:textId="77777777">
        <w:tc>
          <w:tcPr>
            <w:tcW w:w="9212" w:type="dxa"/>
          </w:tcPr>
          <w:p w14:paraId="5664C979" w14:textId="77777777" w:rsidR="008E6675" w:rsidRPr="005638EB" w:rsidRDefault="008E6675" w:rsidP="002005AF">
            <w:pPr>
              <w:rPr>
                <w:rFonts w:ascii="Arial Narrow" w:hAnsi="Arial Narrow"/>
                <w:b/>
              </w:rPr>
            </w:pPr>
            <w:bookmarkStart w:id="0" w:name="_GoBack"/>
            <w:bookmarkEnd w:id="0"/>
            <w:r w:rsidRPr="005638EB">
              <w:rPr>
                <w:rFonts w:ascii="Arial Narrow" w:hAnsi="Arial Narrow"/>
                <w:b/>
                <w:sz w:val="22"/>
              </w:rPr>
              <w:t>Haben Sie externe Hilfestellungen in Anspruch genommen</w:t>
            </w:r>
            <w:r w:rsidR="002005AF">
              <w:rPr>
                <w:rFonts w:ascii="Arial Narrow" w:hAnsi="Arial Narrow"/>
                <w:b/>
                <w:sz w:val="22"/>
              </w:rPr>
              <w:t>?</w:t>
            </w:r>
            <w:r w:rsidRPr="005638EB">
              <w:rPr>
                <w:rFonts w:ascii="Arial Narrow" w:hAnsi="Arial Narrow"/>
                <w:b/>
                <w:sz w:val="22"/>
              </w:rPr>
              <w:t xml:space="preserve">  Wenn ja, bitte geben Sie an, welche Hilfestellung</w:t>
            </w:r>
            <w:r w:rsidR="002005AF">
              <w:rPr>
                <w:rFonts w:ascii="Arial Narrow" w:hAnsi="Arial Narrow"/>
                <w:b/>
                <w:sz w:val="22"/>
              </w:rPr>
              <w:t xml:space="preserve"> Sie in Anspruch genommen haben</w:t>
            </w:r>
            <w:r w:rsidRPr="005638EB">
              <w:rPr>
                <w:rFonts w:ascii="Arial Narrow" w:hAnsi="Arial Narrow"/>
                <w:b/>
                <w:sz w:val="22"/>
              </w:rPr>
              <w:t>?</w:t>
            </w:r>
          </w:p>
        </w:tc>
      </w:tr>
      <w:tr w:rsidR="008E6675" w:rsidRPr="005638EB" w14:paraId="22C6F7A6" w14:textId="77777777">
        <w:tc>
          <w:tcPr>
            <w:tcW w:w="9212" w:type="dxa"/>
          </w:tcPr>
          <w:p w14:paraId="4779B2A3" w14:textId="56798F85" w:rsidR="008E6675" w:rsidRPr="005638EB" w:rsidRDefault="006F25EF" w:rsidP="006F09EB">
            <w:pPr>
              <w:rPr>
                <w:rFonts w:ascii="Arial Narrow" w:hAnsi="Arial Narrow"/>
              </w:rPr>
            </w:pPr>
            <w:r w:rsidRPr="00102A96">
              <w:rPr>
                <w:rFonts w:ascii="Arial Narrow" w:hAnsi="Arial Narrow"/>
                <w:sz w:val="22"/>
              </w:rPr>
              <w:t xml:space="preserve">Dieser Antrag wurde durch die </w:t>
            </w:r>
            <w:r w:rsidRPr="00102A96">
              <w:rPr>
                <w:rFonts w:ascii="Arial Narrow" w:hAnsi="Arial Narrow"/>
                <w:bCs/>
                <w:sz w:val="22"/>
              </w:rPr>
              <w:t>Gesellschaft für Pädiatrische Onkologie und Hämatologie e.V. (GPOH)</w:t>
            </w:r>
            <w:r w:rsidR="006F09EB">
              <w:rPr>
                <w:rFonts w:ascii="Arial Narrow" w:hAnsi="Arial Narrow"/>
                <w:bCs/>
                <w:sz w:val="22"/>
              </w:rPr>
              <w:t xml:space="preserve"> </w:t>
            </w:r>
            <w:r w:rsidRPr="00102A96">
              <w:rPr>
                <w:rFonts w:ascii="Arial Narrow" w:hAnsi="Arial Narrow"/>
                <w:sz w:val="22"/>
              </w:rPr>
              <w:t>vorformuliert.</w:t>
            </w:r>
          </w:p>
        </w:tc>
      </w:tr>
    </w:tbl>
    <w:p w14:paraId="46176C61" w14:textId="77777777" w:rsidR="008E6675" w:rsidRPr="005638EB" w:rsidRDefault="008E6675" w:rsidP="005638EB">
      <w:pPr>
        <w:rPr>
          <w:rFonts w:ascii="Arial Narrow" w:hAnsi="Arial Narrow"/>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92872B7" w14:textId="77777777">
        <w:tc>
          <w:tcPr>
            <w:tcW w:w="9212" w:type="dxa"/>
          </w:tcPr>
          <w:p w14:paraId="0BA58D3F" w14:textId="77777777" w:rsidR="008E6675" w:rsidRPr="005638EB" w:rsidRDefault="008E6675" w:rsidP="005638EB">
            <w:pPr>
              <w:rPr>
                <w:rFonts w:ascii="Arial Narrow" w:hAnsi="Arial Narrow"/>
                <w:b/>
              </w:rPr>
            </w:pPr>
            <w:r w:rsidRPr="005638EB">
              <w:rPr>
                <w:rFonts w:ascii="Arial Narrow" w:hAnsi="Arial Narrow"/>
                <w:b/>
                <w:sz w:val="22"/>
              </w:rPr>
              <w:t>1.1 Angefragte Untersuchungs- und Behandlungsmethode (Kurzbezeichnung)</w:t>
            </w:r>
          </w:p>
        </w:tc>
      </w:tr>
      <w:tr w:rsidR="008E6675" w:rsidRPr="007F255B" w14:paraId="713A66BB" w14:textId="77777777">
        <w:tc>
          <w:tcPr>
            <w:tcW w:w="9212" w:type="dxa"/>
          </w:tcPr>
          <w:p w14:paraId="4FC5C599" w14:textId="77777777" w:rsidR="008E6675" w:rsidRPr="007F255B" w:rsidRDefault="00CF6714" w:rsidP="005638EB">
            <w:pPr>
              <w:rPr>
                <w:rFonts w:ascii="Arial Narrow" w:hAnsi="Arial Narrow"/>
                <w:color w:val="00B050"/>
                <w:sz w:val="22"/>
              </w:rPr>
            </w:pPr>
            <w:r w:rsidRPr="00CF6714">
              <w:rPr>
                <w:rFonts w:ascii="Arial Narrow" w:hAnsi="Arial Narrow"/>
                <w:sz w:val="22"/>
              </w:rPr>
              <w:t>Blinatumomab</w:t>
            </w:r>
          </w:p>
        </w:tc>
      </w:tr>
    </w:tbl>
    <w:p w14:paraId="68840034" w14:textId="77777777" w:rsidR="008E6675" w:rsidRPr="005638EB" w:rsidRDefault="008E6675" w:rsidP="005638EB">
      <w:pPr>
        <w:rPr>
          <w:rFonts w:ascii="Arial Narrow" w:hAnsi="Arial Narrow"/>
          <w:b/>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85C0C50" w14:textId="77777777">
        <w:tc>
          <w:tcPr>
            <w:tcW w:w="9212" w:type="dxa"/>
          </w:tcPr>
          <w:p w14:paraId="2B08B6DD" w14:textId="77777777" w:rsidR="008E6675" w:rsidRPr="005638EB" w:rsidRDefault="008E6675" w:rsidP="00596F9A">
            <w:pPr>
              <w:tabs>
                <w:tab w:val="left" w:pos="7465"/>
              </w:tabs>
              <w:rPr>
                <w:rFonts w:ascii="Arial Narrow" w:hAnsi="Arial Narrow"/>
                <w:b/>
              </w:rPr>
            </w:pPr>
            <w:r w:rsidRPr="005638EB">
              <w:rPr>
                <w:rFonts w:ascii="Arial Narrow" w:hAnsi="Arial Narrow"/>
                <w:b/>
                <w:sz w:val="22"/>
              </w:rPr>
              <w:t>1.2 Alternative Bezeichnung(en) der Methode</w:t>
            </w:r>
            <w:r>
              <w:rPr>
                <w:rFonts w:ascii="Arial Narrow" w:hAnsi="Arial Narrow"/>
                <w:b/>
                <w:sz w:val="22"/>
              </w:rPr>
              <w:tab/>
            </w:r>
          </w:p>
        </w:tc>
      </w:tr>
      <w:tr w:rsidR="008E6675" w:rsidRPr="005638EB" w14:paraId="164F5C53" w14:textId="77777777">
        <w:tc>
          <w:tcPr>
            <w:tcW w:w="9212" w:type="dxa"/>
          </w:tcPr>
          <w:p w14:paraId="4E510C3D" w14:textId="77777777" w:rsidR="008E6675" w:rsidRPr="005638EB" w:rsidRDefault="00CF6714" w:rsidP="00434871">
            <w:pPr>
              <w:rPr>
                <w:rFonts w:ascii="Arial Narrow" w:hAnsi="Arial Narrow"/>
              </w:rPr>
            </w:pPr>
            <w:r w:rsidRPr="00CF6714">
              <w:rPr>
                <w:rFonts w:ascii="Arial Narrow" w:hAnsi="Arial Narrow"/>
              </w:rPr>
              <w:t>Blincyto</w:t>
            </w:r>
            <w:r w:rsidRPr="00E3380C">
              <w:rPr>
                <w:rFonts w:ascii="Arial Narrow" w:hAnsi="Arial Narrow"/>
                <w:vertAlign w:val="superscript"/>
              </w:rPr>
              <w:t>®</w:t>
            </w:r>
          </w:p>
        </w:tc>
      </w:tr>
    </w:tbl>
    <w:p w14:paraId="7D959FA9" w14:textId="77777777" w:rsidR="008E6675"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703A71" w:rsidRPr="004C4F82" w14:paraId="4F8E8D21" w14:textId="77777777" w:rsidTr="00DB3091">
        <w:tc>
          <w:tcPr>
            <w:tcW w:w="9212" w:type="dxa"/>
            <w:tcBorders>
              <w:top w:val="single" w:sz="4" w:space="0" w:color="auto"/>
              <w:left w:val="single" w:sz="4" w:space="0" w:color="auto"/>
              <w:bottom w:val="single" w:sz="4" w:space="0" w:color="auto"/>
              <w:right w:val="single" w:sz="4" w:space="0" w:color="auto"/>
            </w:tcBorders>
          </w:tcPr>
          <w:p w14:paraId="4E19D1B3" w14:textId="77777777" w:rsidR="00703A71" w:rsidRPr="004C4F82" w:rsidRDefault="00703A71" w:rsidP="00DB3091">
            <w:pPr>
              <w:tabs>
                <w:tab w:val="left" w:pos="7465"/>
              </w:tabs>
              <w:rPr>
                <w:rFonts w:ascii="Arial Narrow" w:hAnsi="Arial Narrow"/>
                <w:b/>
                <w:sz w:val="22"/>
              </w:rPr>
            </w:pPr>
            <w:r>
              <w:rPr>
                <w:rFonts w:ascii="Arial Narrow" w:hAnsi="Arial Narrow"/>
                <w:b/>
                <w:sz w:val="22"/>
              </w:rPr>
              <w:t>1.3</w:t>
            </w:r>
            <w:r w:rsidRPr="004C4F82">
              <w:rPr>
                <w:rFonts w:ascii="Arial Narrow" w:hAnsi="Arial Narrow"/>
                <w:b/>
                <w:sz w:val="22"/>
              </w:rPr>
              <w:t xml:space="preserve"> Beruht die neue Untersuchungs- und Behandlungsmethode vollständig oder in Teilen auf dem Ei</w:t>
            </w:r>
            <w:r>
              <w:rPr>
                <w:rFonts w:ascii="Arial Narrow" w:hAnsi="Arial Narrow"/>
                <w:b/>
                <w:sz w:val="22"/>
              </w:rPr>
              <w:t>nsatz eines Medizinproduktes?</w:t>
            </w:r>
            <w:r w:rsidRPr="004C4F82">
              <w:rPr>
                <w:rFonts w:ascii="Arial Narrow" w:hAnsi="Arial Narrow"/>
                <w:b/>
                <w:sz w:val="22"/>
              </w:rPr>
              <w:tab/>
            </w:r>
          </w:p>
        </w:tc>
      </w:tr>
      <w:tr w:rsidR="00703A71" w:rsidRPr="005638EB" w14:paraId="7C43F0C3" w14:textId="77777777" w:rsidTr="00DB3091">
        <w:tc>
          <w:tcPr>
            <w:tcW w:w="9212" w:type="dxa"/>
            <w:tcBorders>
              <w:top w:val="single" w:sz="4" w:space="0" w:color="auto"/>
              <w:left w:val="single" w:sz="4" w:space="0" w:color="auto"/>
              <w:bottom w:val="single" w:sz="4" w:space="0" w:color="auto"/>
              <w:right w:val="single" w:sz="4" w:space="0" w:color="auto"/>
            </w:tcBorders>
          </w:tcPr>
          <w:p w14:paraId="2AC9014F" w14:textId="77777777" w:rsidR="00703A71" w:rsidRPr="004C4F82" w:rsidRDefault="00703A71" w:rsidP="00DB3091">
            <w:pPr>
              <w:rPr>
                <w:rFonts w:ascii="Arial Narrow" w:hAnsi="Arial Narrow"/>
                <w:color w:val="00B050"/>
                <w:sz w:val="22"/>
              </w:rPr>
            </w:pPr>
            <w:r w:rsidRPr="0036325A">
              <w:rPr>
                <w:rFonts w:ascii="Arial Narrow" w:hAnsi="Arial Narrow"/>
                <w:color w:val="00B050"/>
                <w:sz w:val="22"/>
              </w:rPr>
              <w:t xml:space="preserve">Hier </w:t>
            </w:r>
            <w:r>
              <w:rPr>
                <w:rFonts w:ascii="Arial Narrow" w:hAnsi="Arial Narrow"/>
                <w:color w:val="00B050"/>
                <w:sz w:val="22"/>
              </w:rPr>
              <w:t>nein ankreuzen</w:t>
            </w:r>
          </w:p>
        </w:tc>
      </w:tr>
    </w:tbl>
    <w:p w14:paraId="58BFB89A" w14:textId="77777777" w:rsidR="00703A71" w:rsidRDefault="00703A71"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92AB4" w:rsidRPr="005638EB" w14:paraId="5847B3E2" w14:textId="77777777" w:rsidTr="00CF6714">
        <w:tc>
          <w:tcPr>
            <w:tcW w:w="9212" w:type="dxa"/>
          </w:tcPr>
          <w:p w14:paraId="701B097B" w14:textId="7B0A3F68" w:rsidR="00492AB4" w:rsidRPr="005638EB" w:rsidRDefault="00703A71" w:rsidP="00DC6CBD">
            <w:pPr>
              <w:tabs>
                <w:tab w:val="left" w:pos="7465"/>
              </w:tabs>
              <w:rPr>
                <w:rFonts w:ascii="Arial Narrow" w:hAnsi="Arial Narrow"/>
                <w:b/>
              </w:rPr>
            </w:pPr>
            <w:r>
              <w:rPr>
                <w:rFonts w:ascii="Arial Narrow" w:hAnsi="Arial Narrow"/>
                <w:b/>
                <w:sz w:val="22"/>
              </w:rPr>
              <w:t xml:space="preserve">1.4 </w:t>
            </w:r>
            <w:r w:rsidR="00492AB4">
              <w:rPr>
                <w:rFonts w:ascii="Arial Narrow" w:hAnsi="Arial Narrow"/>
                <w:b/>
                <w:sz w:val="22"/>
              </w:rPr>
              <w:t>Wurde für diese angefrag</w:t>
            </w:r>
            <w:r w:rsidR="00DC6CBD">
              <w:rPr>
                <w:rFonts w:ascii="Arial Narrow" w:hAnsi="Arial Narrow"/>
                <w:b/>
                <w:sz w:val="22"/>
              </w:rPr>
              <w:t>te Untersuchungs- und Behandlungsmethode von Ihrem Krankenhaus bereits vor dem 01.01.201</w:t>
            </w:r>
            <w:r>
              <w:rPr>
                <w:rFonts w:ascii="Arial Narrow" w:hAnsi="Arial Narrow"/>
                <w:b/>
                <w:sz w:val="22"/>
              </w:rPr>
              <w:t>7</w:t>
            </w:r>
            <w:r w:rsidR="00DC6CBD">
              <w:rPr>
                <w:rFonts w:ascii="Arial Narrow" w:hAnsi="Arial Narrow"/>
                <w:b/>
                <w:sz w:val="22"/>
              </w:rPr>
              <w:t xml:space="preserve"> eine Anfrage gemäß §6 Abs. 2 KHEntG an das InEK übermittelt</w:t>
            </w:r>
            <w:r w:rsidR="00492AB4">
              <w:rPr>
                <w:rFonts w:ascii="Arial Narrow" w:hAnsi="Arial Narrow"/>
                <w:b/>
                <w:sz w:val="22"/>
              </w:rPr>
              <w:t xml:space="preserve"> </w:t>
            </w:r>
            <w:r w:rsidR="00492AB4">
              <w:rPr>
                <w:rFonts w:ascii="Arial Narrow" w:hAnsi="Arial Narrow"/>
                <w:b/>
                <w:sz w:val="22"/>
              </w:rPr>
              <w:tab/>
            </w:r>
          </w:p>
        </w:tc>
      </w:tr>
      <w:tr w:rsidR="00492AB4" w:rsidRPr="005638EB" w14:paraId="3B4F40FA" w14:textId="77777777" w:rsidTr="00CF6714">
        <w:tc>
          <w:tcPr>
            <w:tcW w:w="9212" w:type="dxa"/>
          </w:tcPr>
          <w:p w14:paraId="51CCDD36" w14:textId="77777777" w:rsidR="00492AB4" w:rsidRPr="005638EB" w:rsidRDefault="00DC6CBD" w:rsidP="00CF6714">
            <w:pPr>
              <w:rPr>
                <w:rFonts w:ascii="Arial Narrow" w:hAnsi="Arial Narrow"/>
              </w:rPr>
            </w:pPr>
            <w:r w:rsidRPr="00DC6CBD">
              <w:rPr>
                <w:rFonts w:ascii="Arial Narrow" w:hAnsi="Arial Narrow"/>
                <w:sz w:val="22"/>
                <w:highlight w:val="yellow"/>
              </w:rPr>
              <w:t>Ja/nein</w:t>
            </w:r>
          </w:p>
        </w:tc>
      </w:tr>
    </w:tbl>
    <w:p w14:paraId="6A7C80EC" w14:textId="77777777" w:rsidR="00492AB4" w:rsidRPr="005638EB" w:rsidRDefault="00492AB4"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2DC30987" w14:textId="77777777">
        <w:tc>
          <w:tcPr>
            <w:tcW w:w="9212" w:type="dxa"/>
          </w:tcPr>
          <w:p w14:paraId="456AD03A" w14:textId="532F7D41" w:rsidR="008E6675" w:rsidRPr="005638EB" w:rsidRDefault="008E6675" w:rsidP="005638EB">
            <w:pPr>
              <w:rPr>
                <w:rFonts w:ascii="Arial Narrow" w:hAnsi="Arial Narrow"/>
                <w:b/>
              </w:rPr>
            </w:pPr>
            <w:r w:rsidRPr="005638EB">
              <w:rPr>
                <w:rFonts w:ascii="Arial Narrow" w:hAnsi="Arial Narrow"/>
                <w:b/>
                <w:sz w:val="22"/>
              </w:rPr>
              <w:t>1.</w:t>
            </w:r>
            <w:r w:rsidR="00703A71">
              <w:rPr>
                <w:rFonts w:ascii="Arial Narrow" w:hAnsi="Arial Narrow"/>
                <w:b/>
                <w:sz w:val="22"/>
              </w:rPr>
              <w:t>5</w:t>
            </w:r>
            <w:r w:rsidRPr="005638EB">
              <w:rPr>
                <w:rFonts w:ascii="Arial Narrow" w:hAnsi="Arial Narrow"/>
                <w:b/>
                <w:sz w:val="22"/>
              </w:rPr>
              <w:t xml:space="preserve"> Beschreibung der neuen Methode</w:t>
            </w:r>
          </w:p>
        </w:tc>
      </w:tr>
      <w:tr w:rsidR="008E6675" w:rsidRPr="0041628F" w14:paraId="16EE8227" w14:textId="77777777">
        <w:tc>
          <w:tcPr>
            <w:tcW w:w="9212" w:type="dxa"/>
          </w:tcPr>
          <w:tbl>
            <w:tblPr>
              <w:tblW w:w="0" w:type="auto"/>
              <w:tblBorders>
                <w:top w:val="nil"/>
                <w:left w:val="nil"/>
                <w:bottom w:val="nil"/>
                <w:right w:val="nil"/>
              </w:tblBorders>
              <w:tblLayout w:type="fixed"/>
              <w:tblLook w:val="0000" w:firstRow="0" w:lastRow="0" w:firstColumn="0" w:lastColumn="0" w:noHBand="0" w:noVBand="0"/>
            </w:tblPr>
            <w:tblGrid>
              <w:gridCol w:w="9027"/>
            </w:tblGrid>
            <w:tr w:rsidR="00CF6714" w14:paraId="45FCD52A" w14:textId="77777777">
              <w:trPr>
                <w:trHeight w:val="1869"/>
              </w:trPr>
              <w:tc>
                <w:tcPr>
                  <w:tcW w:w="9027" w:type="dxa"/>
                </w:tcPr>
                <w:p w14:paraId="7FE9BC2E" w14:textId="3BF384B5" w:rsidR="00CF6714" w:rsidRPr="00D0759B" w:rsidRDefault="00CF6714">
                  <w:pPr>
                    <w:pStyle w:val="Default"/>
                    <w:rPr>
                      <w:rFonts w:ascii="Arial Narrow" w:hAnsi="Arial Narrow"/>
                      <w:sz w:val="22"/>
                      <w:szCs w:val="22"/>
                    </w:rPr>
                  </w:pPr>
                  <w:r w:rsidRPr="00D0759B">
                    <w:rPr>
                      <w:rFonts w:ascii="Arial Narrow" w:hAnsi="Arial Narrow"/>
                      <w:sz w:val="22"/>
                      <w:szCs w:val="22"/>
                    </w:rPr>
                    <w:t>Blinatumomab ist ein T-Zellen aktivierendes Antikörperkonstrukt, das bispezifisch gegen zwei voneinander verschiedene Zielproteine gerichtet ist (bi-specific T-cell engager = BiTE®). Blinatumomab bindet gleichzeitig an den CD3-Rezeptor, der auf T-Zellen exprimiert wird, und an das Oberflächenprotein CD19, das von gesunden B-Zellen, aber auch von leukämischen Blasten einer akuten lymph</w:t>
                  </w:r>
                  <w:r w:rsidR="00694641" w:rsidRPr="00D0759B">
                    <w:rPr>
                      <w:rFonts w:ascii="Arial Narrow" w:hAnsi="Arial Narrow"/>
                      <w:sz w:val="22"/>
                      <w:szCs w:val="22"/>
                    </w:rPr>
                    <w:t xml:space="preserve">oblastischen </w:t>
                  </w:r>
                  <w:r w:rsidRPr="00D0759B">
                    <w:rPr>
                      <w:rFonts w:ascii="Arial Narrow" w:hAnsi="Arial Narrow"/>
                      <w:sz w:val="22"/>
                      <w:szCs w:val="22"/>
                    </w:rPr>
                    <w:t xml:space="preserve">Leukämie der B-Zellreihe und anderen B-Zell Neoplasien exprimiert wird. Die gleichzeitige Bindung an die Zielantigene CD3 und CD19 führt zu einer Kopplung maligner B-Zellen an T-Zellen. Die T-Zellen werden auf diese Weise aktiviert und setzen zytotoxische Proteine frei. Als Folge werden die malignen B-Zellen zerstört. </w:t>
                  </w:r>
                </w:p>
                <w:p w14:paraId="44E51B1C" w14:textId="701E2A80" w:rsidR="00CF6714" w:rsidRPr="00D0759B" w:rsidRDefault="00CF6714">
                  <w:pPr>
                    <w:pStyle w:val="Default"/>
                    <w:rPr>
                      <w:rFonts w:ascii="Arial Narrow" w:hAnsi="Arial Narrow"/>
                      <w:sz w:val="22"/>
                      <w:szCs w:val="22"/>
                    </w:rPr>
                  </w:pPr>
                  <w:r w:rsidRPr="00D0759B">
                    <w:rPr>
                      <w:rFonts w:ascii="Arial Narrow" w:hAnsi="Arial Narrow"/>
                      <w:sz w:val="22"/>
                      <w:szCs w:val="22"/>
                    </w:rPr>
                    <w:t xml:space="preserve">Die Sicherheit und Wirksamkeit von Blinatumomab </w:t>
                  </w:r>
                  <w:r w:rsidR="00694641" w:rsidRPr="00D0759B">
                    <w:rPr>
                      <w:rFonts w:ascii="Arial Narrow" w:hAnsi="Arial Narrow"/>
                      <w:sz w:val="22"/>
                      <w:szCs w:val="22"/>
                    </w:rPr>
                    <w:t xml:space="preserve">wurde </w:t>
                  </w:r>
                  <w:r w:rsidRPr="00D0759B">
                    <w:rPr>
                      <w:rFonts w:ascii="Arial Narrow" w:hAnsi="Arial Narrow"/>
                      <w:sz w:val="22"/>
                      <w:szCs w:val="22"/>
                    </w:rPr>
                    <w:t xml:space="preserve">in mehreren klinischen Studien </w:t>
                  </w:r>
                  <w:r w:rsidR="007149D2" w:rsidRPr="00D0759B">
                    <w:rPr>
                      <w:rFonts w:ascii="Arial Narrow" w:hAnsi="Arial Narrow"/>
                      <w:sz w:val="22"/>
                      <w:szCs w:val="22"/>
                    </w:rPr>
                    <w:t xml:space="preserve">bei Erwachsenen und Kindern </w:t>
                  </w:r>
                  <w:r w:rsidRPr="00D0759B">
                    <w:rPr>
                      <w:rFonts w:ascii="Arial Narrow" w:hAnsi="Arial Narrow"/>
                      <w:sz w:val="22"/>
                      <w:szCs w:val="22"/>
                    </w:rPr>
                    <w:t>gezeigt (Topp et al., Lancet Oncology 2014</w:t>
                  </w:r>
                  <w:r w:rsidR="00A32E7A">
                    <w:rPr>
                      <w:rFonts w:ascii="Arial Narrow" w:hAnsi="Arial Narrow"/>
                      <w:sz w:val="22"/>
                      <w:szCs w:val="22"/>
                    </w:rPr>
                    <w:t>,</w:t>
                  </w:r>
                  <w:r w:rsidRPr="00D0759B">
                    <w:rPr>
                      <w:rFonts w:ascii="Arial Narrow" w:hAnsi="Arial Narrow"/>
                      <w:sz w:val="22"/>
                      <w:szCs w:val="22"/>
                    </w:rPr>
                    <w:t xml:space="preserve"> 16: 57-66</w:t>
                  </w:r>
                  <w:r w:rsidR="007149D2" w:rsidRPr="00D0759B">
                    <w:rPr>
                      <w:rFonts w:ascii="Arial Narrow" w:hAnsi="Arial Narrow"/>
                      <w:sz w:val="22"/>
                      <w:szCs w:val="22"/>
                    </w:rPr>
                    <w:t>, von Stackelberg, JCO</w:t>
                  </w:r>
                  <w:r w:rsidR="00A32E7A">
                    <w:rPr>
                      <w:rFonts w:ascii="Arial Narrow" w:hAnsi="Arial Narrow"/>
                      <w:sz w:val="22"/>
                      <w:szCs w:val="22"/>
                    </w:rPr>
                    <w:t xml:space="preserve"> 2016, </w:t>
                  </w:r>
                  <w:r w:rsidR="00A32E7A">
                    <w:rPr>
                      <w:sz w:val="18"/>
                      <w:szCs w:val="18"/>
                      <w:shd w:val="clear" w:color="auto" w:fill="FFFFFF"/>
                    </w:rPr>
                    <w:t>34(36):4381-4389</w:t>
                  </w:r>
                  <w:r w:rsidRPr="00D0759B">
                    <w:rPr>
                      <w:rFonts w:ascii="Arial Narrow" w:hAnsi="Arial Narrow"/>
                      <w:sz w:val="22"/>
                      <w:szCs w:val="22"/>
                    </w:rPr>
                    <w:t xml:space="preserve"> und weitere). </w:t>
                  </w:r>
                </w:p>
                <w:p w14:paraId="244DD851" w14:textId="7EB2E53E" w:rsidR="00CF6714" w:rsidRPr="00D0759B" w:rsidRDefault="00CF6714">
                  <w:pPr>
                    <w:pStyle w:val="Default"/>
                    <w:rPr>
                      <w:rFonts w:ascii="Arial Narrow" w:hAnsi="Arial Narrow"/>
                      <w:sz w:val="22"/>
                      <w:szCs w:val="22"/>
                    </w:rPr>
                  </w:pPr>
                  <w:r w:rsidRPr="00D0759B">
                    <w:rPr>
                      <w:rFonts w:ascii="Arial Narrow" w:hAnsi="Arial Narrow"/>
                      <w:sz w:val="22"/>
                      <w:szCs w:val="22"/>
                    </w:rPr>
                    <w:t xml:space="preserve">Ein Blinatumomab-Behandlungszyklus besteht aus einer 4-wöchigen Dauerinfusion, gefolgt von einem behandlungsfreien </w:t>
                  </w:r>
                  <w:r w:rsidR="00D0759B" w:rsidRPr="00D0759B">
                    <w:rPr>
                      <w:rFonts w:ascii="Arial Narrow" w:hAnsi="Arial Narrow"/>
                      <w:sz w:val="22"/>
                      <w:szCs w:val="22"/>
                    </w:rPr>
                    <w:t>Intervall</w:t>
                  </w:r>
                  <w:r w:rsidRPr="00D0759B">
                    <w:rPr>
                      <w:rFonts w:ascii="Arial Narrow" w:hAnsi="Arial Narrow"/>
                      <w:sz w:val="22"/>
                      <w:szCs w:val="22"/>
                    </w:rPr>
                    <w:t xml:space="preserve"> von 2 Wochen. Patienten erhalten in der Regel 2 Zyklen Blinatumomab. Die Patienten, die nach 2 Zyklen eine komplette Remission erreichen, können nach individueller Nutzen-Risiko-Abwägung bis zu 3 weitere Blinatumomab-Zyklen als Konsolidierungstherapie erhalten. </w:t>
                  </w:r>
                </w:p>
                <w:p w14:paraId="5970586B" w14:textId="6B304AAD" w:rsidR="00CF6714" w:rsidRDefault="007149D2" w:rsidP="00E3380C">
                  <w:pPr>
                    <w:pStyle w:val="Default"/>
                    <w:rPr>
                      <w:sz w:val="22"/>
                      <w:szCs w:val="22"/>
                    </w:rPr>
                  </w:pPr>
                  <w:r w:rsidRPr="00D0759B">
                    <w:rPr>
                      <w:rFonts w:ascii="Arial Narrow" w:hAnsi="Arial Narrow"/>
                      <w:sz w:val="22"/>
                      <w:szCs w:val="22"/>
                    </w:rPr>
                    <w:t>Die Tagesdosis beträgt 15 μg/m² Blinatumomab. Nur bei einer hohen Tumorlast (&gt; 25% Leu</w:t>
                  </w:r>
                  <w:r w:rsidR="00D0759B" w:rsidRPr="00D0759B">
                    <w:rPr>
                      <w:rFonts w:ascii="Arial Narrow" w:hAnsi="Arial Narrow"/>
                      <w:sz w:val="22"/>
                      <w:szCs w:val="22"/>
                    </w:rPr>
                    <w:t>k</w:t>
                  </w:r>
                  <w:r w:rsidRPr="00D0759B">
                    <w:rPr>
                      <w:rFonts w:ascii="Arial Narrow" w:hAnsi="Arial Narrow"/>
                      <w:sz w:val="22"/>
                      <w:szCs w:val="22"/>
                    </w:rPr>
                    <w:t xml:space="preserve">ämiezellen im Knochenmark, KM3) ist eine </w:t>
                  </w:r>
                  <w:r w:rsidR="00E3380C">
                    <w:rPr>
                      <w:rFonts w:ascii="Arial Narrow" w:hAnsi="Arial Narrow"/>
                      <w:sz w:val="22"/>
                      <w:szCs w:val="22"/>
                    </w:rPr>
                    <w:t>reduzierte Tagesdosis von 5 µg/</w:t>
                  </w:r>
                  <w:r w:rsidRPr="00D0759B">
                    <w:rPr>
                      <w:rFonts w:ascii="Arial Narrow" w:hAnsi="Arial Narrow"/>
                      <w:sz w:val="22"/>
                      <w:szCs w:val="22"/>
                    </w:rPr>
                    <w:t>m² in der ersten Therapiewoche mit Steigerung auf 15 µg/m² ab der 2</w:t>
                  </w:r>
                  <w:r w:rsidR="00D0759B" w:rsidRPr="00D0759B">
                    <w:rPr>
                      <w:rFonts w:ascii="Arial Narrow" w:hAnsi="Arial Narrow"/>
                      <w:sz w:val="22"/>
                      <w:szCs w:val="22"/>
                    </w:rPr>
                    <w:t>.</w:t>
                  </w:r>
                  <w:r w:rsidRPr="00D0759B">
                    <w:rPr>
                      <w:rFonts w:ascii="Arial Narrow" w:hAnsi="Arial Narrow"/>
                      <w:sz w:val="22"/>
                      <w:szCs w:val="22"/>
                    </w:rPr>
                    <w:t xml:space="preserve"> Therapiewoche empfohlen.</w:t>
                  </w:r>
                  <w:r w:rsidR="00CF6714" w:rsidRPr="00D0759B">
                    <w:rPr>
                      <w:rFonts w:ascii="Arial Narrow" w:hAnsi="Arial Narrow"/>
                      <w:sz w:val="22"/>
                      <w:szCs w:val="22"/>
                    </w:rPr>
                    <w:t xml:space="preserve"> </w:t>
                  </w:r>
                </w:p>
              </w:tc>
            </w:tr>
          </w:tbl>
          <w:p w14:paraId="524407DD" w14:textId="77777777" w:rsidR="008E6675" w:rsidRPr="00D0759B" w:rsidRDefault="008E6675" w:rsidP="00CF6714">
            <w:pPr>
              <w:rPr>
                <w:rFonts w:ascii="Arial Narrow" w:hAnsi="Arial Narrow"/>
              </w:rPr>
            </w:pPr>
          </w:p>
        </w:tc>
      </w:tr>
    </w:tbl>
    <w:p w14:paraId="5703D5FA" w14:textId="77777777" w:rsidR="008E6675" w:rsidRPr="00D0759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7C6B898" w14:textId="77777777">
        <w:tc>
          <w:tcPr>
            <w:tcW w:w="9212" w:type="dxa"/>
          </w:tcPr>
          <w:p w14:paraId="4934C06C" w14:textId="06B579B1" w:rsidR="008E6675" w:rsidRPr="005638EB" w:rsidRDefault="008E6675" w:rsidP="005638EB">
            <w:pPr>
              <w:rPr>
                <w:rFonts w:ascii="Arial Narrow" w:hAnsi="Arial Narrow"/>
                <w:b/>
              </w:rPr>
            </w:pPr>
            <w:r w:rsidRPr="005638EB">
              <w:rPr>
                <w:rFonts w:ascii="Arial Narrow" w:hAnsi="Arial Narrow"/>
                <w:b/>
                <w:sz w:val="22"/>
              </w:rPr>
              <w:t>1.</w:t>
            </w:r>
            <w:r w:rsidR="00703A71">
              <w:rPr>
                <w:rFonts w:ascii="Arial Narrow" w:hAnsi="Arial Narrow"/>
                <w:b/>
                <w:sz w:val="22"/>
              </w:rPr>
              <w:t>6</w:t>
            </w:r>
            <w:r w:rsidRPr="005638EB">
              <w:rPr>
                <w:rFonts w:ascii="Arial Narrow" w:hAnsi="Arial Narrow"/>
                <w:b/>
                <w:sz w:val="22"/>
              </w:rPr>
              <w:t xml:space="preserve"> Mit welchem OPS wird die Methode verschlüsselt?</w:t>
            </w:r>
          </w:p>
        </w:tc>
      </w:tr>
      <w:tr w:rsidR="008E6675" w:rsidRPr="005638EB" w14:paraId="133A1471" w14:textId="77777777">
        <w:tc>
          <w:tcPr>
            <w:tcW w:w="9212" w:type="dxa"/>
          </w:tcPr>
          <w:p w14:paraId="6DA44C06" w14:textId="77777777" w:rsidR="00CF6714" w:rsidRPr="00CF6714" w:rsidRDefault="00CF6714" w:rsidP="00CF6714">
            <w:pPr>
              <w:rPr>
                <w:rFonts w:ascii="Arial Narrow" w:hAnsi="Arial Narrow"/>
                <w:sz w:val="22"/>
              </w:rPr>
            </w:pPr>
            <w:r w:rsidRPr="00CF6714">
              <w:rPr>
                <w:rFonts w:ascii="Arial Narrow" w:hAnsi="Arial Narrow"/>
                <w:sz w:val="22"/>
              </w:rPr>
              <w:t>Bisher ist kein spezifischer OPS-Code für die Anwen</w:t>
            </w:r>
            <w:r>
              <w:rPr>
                <w:rFonts w:ascii="Arial Narrow" w:hAnsi="Arial Narrow"/>
                <w:sz w:val="22"/>
              </w:rPr>
              <w:t>dung des Medikamentes definiert; ein Antrag auf einen spezifischen OPS wurde im Rahmen des Vorschlagsverfahrens 2017 beim DIMDI gestellt.</w:t>
            </w:r>
          </w:p>
          <w:p w14:paraId="530573D8" w14:textId="77777777" w:rsidR="0036325A" w:rsidRPr="005638EB" w:rsidRDefault="00CF6714" w:rsidP="00CF6714">
            <w:pPr>
              <w:rPr>
                <w:rFonts w:ascii="Arial Narrow" w:hAnsi="Arial Narrow"/>
              </w:rPr>
            </w:pPr>
            <w:r w:rsidRPr="00CF6714">
              <w:rPr>
                <w:rFonts w:ascii="Arial Narrow" w:hAnsi="Arial Narrow"/>
                <w:sz w:val="22"/>
              </w:rPr>
              <w:t>Code 8-547.0 für die Gabe eines monoklonalen Antikörpers kann verwendet werden.</w:t>
            </w:r>
          </w:p>
        </w:tc>
      </w:tr>
    </w:tbl>
    <w:p w14:paraId="362EE6E7" w14:textId="77777777" w:rsidR="008E6675"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EBB2019" w14:textId="77777777">
        <w:tc>
          <w:tcPr>
            <w:tcW w:w="9212" w:type="dxa"/>
          </w:tcPr>
          <w:p w14:paraId="513FFC33" w14:textId="77777777" w:rsidR="008E6675" w:rsidRPr="005638EB" w:rsidRDefault="008E6675" w:rsidP="005638EB">
            <w:pPr>
              <w:rPr>
                <w:rFonts w:ascii="Arial Narrow" w:hAnsi="Arial Narrow"/>
                <w:b/>
              </w:rPr>
            </w:pPr>
            <w:r w:rsidRPr="005638EB">
              <w:rPr>
                <w:rFonts w:ascii="Arial Narrow" w:hAnsi="Arial Narrow"/>
                <w:b/>
                <w:sz w:val="22"/>
              </w:rPr>
              <w:t>2.1 Bei welchen Patienten wird die Methode angewandt (Indikation)?</w:t>
            </w:r>
          </w:p>
        </w:tc>
      </w:tr>
      <w:tr w:rsidR="008E6675" w:rsidRPr="007F255B" w14:paraId="3FDABA3D" w14:textId="77777777">
        <w:tc>
          <w:tcPr>
            <w:tcW w:w="9212" w:type="dxa"/>
          </w:tcPr>
          <w:p w14:paraId="0B3D0AF9" w14:textId="41917E10" w:rsidR="008E1C7A" w:rsidRPr="007F255B" w:rsidRDefault="00CF6714" w:rsidP="00E3380C">
            <w:pPr>
              <w:rPr>
                <w:rFonts w:ascii="Arial Narrow" w:hAnsi="Arial Narrow"/>
                <w:sz w:val="22"/>
                <w:szCs w:val="22"/>
              </w:rPr>
            </w:pPr>
            <w:r w:rsidRPr="00CF6714">
              <w:rPr>
                <w:rFonts w:ascii="Arial Narrow" w:hAnsi="Arial Narrow"/>
                <w:sz w:val="22"/>
                <w:szCs w:val="22"/>
              </w:rPr>
              <w:lastRenderedPageBreak/>
              <w:t xml:space="preserve">Blinatumomab wird zur Behandlung von </w:t>
            </w:r>
            <w:r>
              <w:rPr>
                <w:rFonts w:ascii="Arial Narrow" w:hAnsi="Arial Narrow"/>
                <w:sz w:val="22"/>
                <w:szCs w:val="22"/>
              </w:rPr>
              <w:t xml:space="preserve">Kindern und Jugendlichen </w:t>
            </w:r>
            <w:r w:rsidRPr="00CF6714">
              <w:rPr>
                <w:rFonts w:ascii="Arial Narrow" w:hAnsi="Arial Narrow"/>
                <w:sz w:val="22"/>
                <w:szCs w:val="22"/>
              </w:rPr>
              <w:t>mit rezidivierter oder refraktärer akuter lymph</w:t>
            </w:r>
            <w:r w:rsidR="00694641">
              <w:rPr>
                <w:rFonts w:ascii="Arial Narrow" w:hAnsi="Arial Narrow"/>
                <w:sz w:val="22"/>
                <w:szCs w:val="22"/>
              </w:rPr>
              <w:t xml:space="preserve">oblastischer </w:t>
            </w:r>
            <w:r w:rsidR="007149D2" w:rsidRPr="00CF6714">
              <w:rPr>
                <w:rFonts w:ascii="Arial Narrow" w:hAnsi="Arial Narrow"/>
                <w:sz w:val="22"/>
                <w:szCs w:val="22"/>
              </w:rPr>
              <w:t>B-Vorläufer</w:t>
            </w:r>
            <w:r w:rsidR="00694641">
              <w:rPr>
                <w:rFonts w:ascii="Arial Narrow" w:hAnsi="Arial Narrow"/>
                <w:sz w:val="22"/>
                <w:szCs w:val="22"/>
              </w:rPr>
              <w:t>zell</w:t>
            </w:r>
            <w:r w:rsidR="00E3380C">
              <w:rPr>
                <w:rFonts w:ascii="Arial Narrow" w:hAnsi="Arial Narrow"/>
                <w:sz w:val="22"/>
                <w:szCs w:val="22"/>
              </w:rPr>
              <w:t>-</w:t>
            </w:r>
            <w:r w:rsidRPr="00CF6714">
              <w:rPr>
                <w:rFonts w:ascii="Arial Narrow" w:hAnsi="Arial Narrow"/>
                <w:sz w:val="22"/>
                <w:szCs w:val="22"/>
              </w:rPr>
              <w:t>Leukämie (</w:t>
            </w:r>
            <w:r w:rsidR="00694641">
              <w:rPr>
                <w:rFonts w:ascii="Arial Narrow" w:hAnsi="Arial Narrow"/>
                <w:sz w:val="22"/>
                <w:szCs w:val="22"/>
              </w:rPr>
              <w:t>BVZ-</w:t>
            </w:r>
            <w:r w:rsidRPr="00CF6714">
              <w:rPr>
                <w:rFonts w:ascii="Arial Narrow" w:hAnsi="Arial Narrow"/>
                <w:sz w:val="22"/>
                <w:szCs w:val="22"/>
              </w:rPr>
              <w:t>ALL)</w:t>
            </w:r>
            <w:r w:rsidR="00694641" w:rsidRPr="00CF6714">
              <w:rPr>
                <w:rFonts w:ascii="Arial Narrow" w:hAnsi="Arial Narrow"/>
                <w:sz w:val="22"/>
                <w:szCs w:val="22"/>
              </w:rPr>
              <w:t xml:space="preserve"> angewendet</w:t>
            </w:r>
            <w:r w:rsidR="00694641">
              <w:rPr>
                <w:rFonts w:ascii="Arial Narrow" w:hAnsi="Arial Narrow"/>
                <w:sz w:val="22"/>
                <w:szCs w:val="22"/>
              </w:rPr>
              <w:t>.</w:t>
            </w:r>
          </w:p>
        </w:tc>
      </w:tr>
    </w:tbl>
    <w:p w14:paraId="45279073"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5CDB1837" w14:textId="77777777">
        <w:trPr>
          <w:trHeight w:val="234"/>
        </w:trPr>
        <w:tc>
          <w:tcPr>
            <w:tcW w:w="9212" w:type="dxa"/>
          </w:tcPr>
          <w:p w14:paraId="19DD60E6" w14:textId="77777777" w:rsidR="008E6675" w:rsidRPr="005638EB" w:rsidRDefault="008E6675" w:rsidP="005638EB">
            <w:pPr>
              <w:rPr>
                <w:rFonts w:ascii="Arial Narrow" w:hAnsi="Arial Narrow"/>
                <w:b/>
              </w:rPr>
            </w:pPr>
            <w:r w:rsidRPr="005638EB">
              <w:rPr>
                <w:rFonts w:ascii="Arial Narrow" w:hAnsi="Arial Narrow"/>
                <w:b/>
                <w:sz w:val="22"/>
              </w:rPr>
              <w:t>2.2 Welche bestehende Methode wird durch die neue Methode abgelöst oder ergänzt?</w:t>
            </w:r>
          </w:p>
        </w:tc>
      </w:tr>
      <w:tr w:rsidR="008E6675" w:rsidRPr="007F255B" w14:paraId="2855EAEA" w14:textId="77777777">
        <w:tc>
          <w:tcPr>
            <w:tcW w:w="9212" w:type="dxa"/>
          </w:tcPr>
          <w:p w14:paraId="5C3CECD1" w14:textId="7F851313" w:rsidR="008E6675" w:rsidRPr="007F255B" w:rsidRDefault="00CF6714" w:rsidP="006F09EB">
            <w:pPr>
              <w:rPr>
                <w:rFonts w:ascii="Arial Narrow" w:hAnsi="Arial Narrow"/>
                <w:sz w:val="22"/>
                <w:szCs w:val="22"/>
              </w:rPr>
            </w:pPr>
            <w:r w:rsidRPr="00595791">
              <w:rPr>
                <w:rFonts w:ascii="Arial Narrow" w:hAnsi="Arial Narrow"/>
                <w:sz w:val="22"/>
                <w:szCs w:val="22"/>
              </w:rPr>
              <w:t>Die Krankheitssituation dieser Patienten mit rezidivie</w:t>
            </w:r>
            <w:r w:rsidR="00694641">
              <w:rPr>
                <w:rFonts w:ascii="Arial Narrow" w:hAnsi="Arial Narrow"/>
                <w:sz w:val="22"/>
                <w:szCs w:val="22"/>
              </w:rPr>
              <w:t xml:space="preserve">rter </w:t>
            </w:r>
            <w:r w:rsidRPr="00595791">
              <w:rPr>
                <w:rFonts w:ascii="Arial Narrow" w:hAnsi="Arial Narrow"/>
                <w:sz w:val="22"/>
                <w:szCs w:val="22"/>
              </w:rPr>
              <w:t xml:space="preserve">oder refraktärer Erkrankung stellt sich in der Praxis als sehr schwierig zu behandeln dar, </w:t>
            </w:r>
            <w:r w:rsidRPr="00D0759B">
              <w:rPr>
                <w:rFonts w:ascii="Arial Narrow" w:hAnsi="Arial Narrow"/>
                <w:sz w:val="22"/>
                <w:szCs w:val="22"/>
              </w:rPr>
              <w:t xml:space="preserve">insbesondere dann, wenn </w:t>
            </w:r>
            <w:r w:rsidR="00595791" w:rsidRPr="00D0759B">
              <w:rPr>
                <w:rFonts w:ascii="Arial Narrow" w:hAnsi="Arial Narrow"/>
                <w:sz w:val="22"/>
                <w:szCs w:val="22"/>
              </w:rPr>
              <w:t>eine Reduzierung der Leukämiezelllast vor einer allogenen Stammzelltransplantation unzureichend möglich ist oder ein Rezidiv nach einer solchen auftritt</w:t>
            </w:r>
            <w:r w:rsidRPr="00D0759B">
              <w:rPr>
                <w:rFonts w:ascii="Arial Narrow" w:hAnsi="Arial Narrow"/>
                <w:sz w:val="22"/>
                <w:szCs w:val="22"/>
              </w:rPr>
              <w:t>.</w:t>
            </w:r>
            <w:r w:rsidRPr="00595791">
              <w:rPr>
                <w:rFonts w:ascii="Arial Narrow" w:hAnsi="Arial Narrow"/>
                <w:sz w:val="22"/>
                <w:szCs w:val="22"/>
              </w:rPr>
              <w:t xml:space="preserve"> Blinatumomab bietet bei diesen Patienten die Möglichkeit einer zielgerichteten Therapieform mit dem Ziel einer kompletten Remission.</w:t>
            </w:r>
          </w:p>
        </w:tc>
      </w:tr>
    </w:tbl>
    <w:p w14:paraId="0321D673"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DFD0AF1" w14:textId="77777777">
        <w:tc>
          <w:tcPr>
            <w:tcW w:w="9212" w:type="dxa"/>
          </w:tcPr>
          <w:p w14:paraId="442C992C" w14:textId="77777777" w:rsidR="008E6675" w:rsidRPr="005638EB" w:rsidRDefault="008E6675" w:rsidP="00E92C57">
            <w:pPr>
              <w:rPr>
                <w:rFonts w:ascii="Arial Narrow" w:hAnsi="Arial Narrow"/>
                <w:b/>
              </w:rPr>
            </w:pPr>
            <w:r w:rsidRPr="005638EB">
              <w:rPr>
                <w:rFonts w:ascii="Arial Narrow" w:hAnsi="Arial Narrow"/>
                <w:b/>
                <w:sz w:val="22"/>
              </w:rPr>
              <w:t>2.3 Ist die Methode vollständig oder in Teilen neu und warum handelt es sich um eine neue Untersuchungs- und Behandlungsmethode?</w:t>
            </w:r>
          </w:p>
        </w:tc>
      </w:tr>
      <w:tr w:rsidR="008E6675" w:rsidRPr="005638EB" w14:paraId="7A88E7D2" w14:textId="77777777">
        <w:tc>
          <w:tcPr>
            <w:tcW w:w="9212" w:type="dxa"/>
          </w:tcPr>
          <w:p w14:paraId="6F99CE36" w14:textId="25668771" w:rsidR="008E6675" w:rsidRPr="005638EB" w:rsidRDefault="00595791" w:rsidP="00E92C57">
            <w:pPr>
              <w:rPr>
                <w:rFonts w:ascii="Arial Narrow" w:hAnsi="Arial Narrow"/>
              </w:rPr>
            </w:pPr>
            <w:r w:rsidRPr="00595791">
              <w:rPr>
                <w:rFonts w:ascii="Arial Narrow" w:hAnsi="Arial Narrow"/>
                <w:sz w:val="22"/>
                <w:szCs w:val="22"/>
              </w:rPr>
              <w:t xml:space="preserve">Blinatumomab ist ein neues Medikament und das erste in dieser Substanzklasse. Es wurde in Europa im November 2015 </w:t>
            </w:r>
            <w:r w:rsidR="007149D2">
              <w:rPr>
                <w:rFonts w:ascii="Arial Narrow" w:hAnsi="Arial Narrow"/>
                <w:sz w:val="22"/>
                <w:szCs w:val="22"/>
              </w:rPr>
              <w:t>fü</w:t>
            </w:r>
            <w:r w:rsidR="00E3380C">
              <w:rPr>
                <w:rFonts w:ascii="Arial Narrow" w:hAnsi="Arial Narrow"/>
                <w:sz w:val="22"/>
                <w:szCs w:val="22"/>
              </w:rPr>
              <w:t>r Erwachsene mit rezidivierter/</w:t>
            </w:r>
            <w:r w:rsidR="007149D2">
              <w:rPr>
                <w:rFonts w:ascii="Arial Narrow" w:hAnsi="Arial Narrow"/>
                <w:sz w:val="22"/>
                <w:szCs w:val="22"/>
              </w:rPr>
              <w:t>refraktärer B-Vorläufer</w:t>
            </w:r>
            <w:r w:rsidR="006F09EB">
              <w:rPr>
                <w:rFonts w:ascii="Arial Narrow" w:hAnsi="Arial Narrow"/>
                <w:sz w:val="22"/>
                <w:szCs w:val="22"/>
              </w:rPr>
              <w:t>zell</w:t>
            </w:r>
            <w:r w:rsidR="007149D2">
              <w:rPr>
                <w:rFonts w:ascii="Arial Narrow" w:hAnsi="Arial Narrow"/>
                <w:sz w:val="22"/>
                <w:szCs w:val="22"/>
              </w:rPr>
              <w:t xml:space="preserve">-ALL </w:t>
            </w:r>
            <w:r w:rsidRPr="00595791">
              <w:rPr>
                <w:rFonts w:ascii="Arial Narrow" w:hAnsi="Arial Narrow"/>
                <w:sz w:val="22"/>
                <w:szCs w:val="22"/>
              </w:rPr>
              <w:t>von der EMA zugelassen.</w:t>
            </w:r>
            <w:r w:rsidR="00F91167">
              <w:rPr>
                <w:rFonts w:ascii="Arial Narrow" w:hAnsi="Arial Narrow"/>
                <w:sz w:val="22"/>
                <w:szCs w:val="22"/>
              </w:rPr>
              <w:t xml:space="preserve"> </w:t>
            </w:r>
            <w:r w:rsidR="007149D2">
              <w:rPr>
                <w:rFonts w:ascii="Arial Narrow" w:hAnsi="Arial Narrow"/>
                <w:sz w:val="22"/>
                <w:szCs w:val="22"/>
              </w:rPr>
              <w:t>Seit September 2016 ist Blinatumomab darüber hinaus in den US</w:t>
            </w:r>
            <w:r w:rsidR="00B17144">
              <w:rPr>
                <w:rFonts w:ascii="Arial Narrow" w:hAnsi="Arial Narrow"/>
                <w:sz w:val="22"/>
                <w:szCs w:val="22"/>
              </w:rPr>
              <w:t>A für Kinder mit rezidivierter/</w:t>
            </w:r>
            <w:r w:rsidR="007149D2">
              <w:rPr>
                <w:rFonts w:ascii="Arial Narrow" w:hAnsi="Arial Narrow"/>
                <w:sz w:val="22"/>
                <w:szCs w:val="22"/>
              </w:rPr>
              <w:t>refraktärer B-Vorläufer</w:t>
            </w:r>
            <w:r w:rsidR="006F09EB">
              <w:rPr>
                <w:rFonts w:ascii="Arial Narrow" w:hAnsi="Arial Narrow"/>
                <w:sz w:val="22"/>
                <w:szCs w:val="22"/>
              </w:rPr>
              <w:t>zell</w:t>
            </w:r>
            <w:r w:rsidR="007149D2">
              <w:rPr>
                <w:rFonts w:ascii="Arial Narrow" w:hAnsi="Arial Narrow"/>
                <w:sz w:val="22"/>
                <w:szCs w:val="22"/>
              </w:rPr>
              <w:t>-ALL von der FDA</w:t>
            </w:r>
            <w:r w:rsidR="007149D2" w:rsidRPr="00595791">
              <w:rPr>
                <w:rFonts w:ascii="Arial Narrow" w:hAnsi="Arial Narrow"/>
                <w:sz w:val="22"/>
                <w:szCs w:val="22"/>
              </w:rPr>
              <w:t xml:space="preserve"> zugelassen</w:t>
            </w:r>
            <w:r w:rsidR="007149D2">
              <w:rPr>
                <w:rFonts w:ascii="Arial Narrow" w:hAnsi="Arial Narrow"/>
                <w:sz w:val="22"/>
                <w:szCs w:val="22"/>
              </w:rPr>
              <w:t>.</w:t>
            </w:r>
          </w:p>
        </w:tc>
      </w:tr>
    </w:tbl>
    <w:p w14:paraId="71326D61"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72C2A50" w14:textId="77777777">
        <w:tc>
          <w:tcPr>
            <w:tcW w:w="9212" w:type="dxa"/>
          </w:tcPr>
          <w:p w14:paraId="369B1973" w14:textId="77777777" w:rsidR="008E6675" w:rsidRPr="005638EB" w:rsidRDefault="008E6675" w:rsidP="005638EB">
            <w:pPr>
              <w:rPr>
                <w:rFonts w:ascii="Arial Narrow" w:hAnsi="Arial Narrow"/>
                <w:b/>
              </w:rPr>
            </w:pPr>
            <w:r w:rsidRPr="005638EB">
              <w:rPr>
                <w:rFonts w:ascii="Arial Narrow" w:hAnsi="Arial Narrow"/>
                <w:b/>
                <w:sz w:val="22"/>
              </w:rPr>
              <w:t>2.4 Welche Auswirkungen hat die Methode auf die Verweildauer im Krankenhaus?</w:t>
            </w:r>
          </w:p>
        </w:tc>
      </w:tr>
      <w:tr w:rsidR="008E6675" w:rsidRPr="008E1C7A" w14:paraId="2BC10184" w14:textId="77777777">
        <w:trPr>
          <w:trHeight w:val="264"/>
        </w:trPr>
        <w:tc>
          <w:tcPr>
            <w:tcW w:w="9212" w:type="dxa"/>
          </w:tcPr>
          <w:p w14:paraId="74604196" w14:textId="77777777" w:rsidR="00A530BE" w:rsidRPr="008E1C7A" w:rsidRDefault="00595791" w:rsidP="005638EB">
            <w:pPr>
              <w:rPr>
                <w:rFonts w:ascii="Arial Narrow" w:hAnsi="Arial Narrow"/>
                <w:sz w:val="22"/>
                <w:szCs w:val="22"/>
              </w:rPr>
            </w:pPr>
            <w:r w:rsidRPr="00595791">
              <w:rPr>
                <w:rFonts w:ascii="Arial Narrow" w:hAnsi="Arial Narrow"/>
                <w:sz w:val="22"/>
                <w:szCs w:val="22"/>
              </w:rPr>
              <w:t>Zur Veränderung der Verweildauer im Krankenhaus können derzeit aufgrund fehlender Erfahrungen noch keine Aussagen getroffen werden.</w:t>
            </w:r>
            <w:r w:rsidR="007149D2">
              <w:rPr>
                <w:rFonts w:ascii="Arial Narrow" w:hAnsi="Arial Narrow"/>
                <w:sz w:val="22"/>
                <w:szCs w:val="22"/>
              </w:rPr>
              <w:t xml:space="preserve"> </w:t>
            </w:r>
          </w:p>
        </w:tc>
      </w:tr>
    </w:tbl>
    <w:p w14:paraId="2663FFB1"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9356FF4" w14:textId="77777777">
        <w:tc>
          <w:tcPr>
            <w:tcW w:w="9212" w:type="dxa"/>
          </w:tcPr>
          <w:p w14:paraId="655501DD" w14:textId="77777777" w:rsidR="008E6675" w:rsidRPr="005638EB" w:rsidRDefault="008E6675" w:rsidP="005638EB">
            <w:pPr>
              <w:rPr>
                <w:rFonts w:ascii="Arial Narrow" w:hAnsi="Arial Narrow"/>
                <w:b/>
              </w:rPr>
            </w:pPr>
            <w:r w:rsidRPr="005638EB">
              <w:rPr>
                <w:rFonts w:ascii="Arial Narrow" w:hAnsi="Arial Narrow"/>
                <w:b/>
                <w:sz w:val="22"/>
              </w:rPr>
              <w:t>3.1 Wann wurde diese Methode in Deutschland eingeführt?</w:t>
            </w:r>
          </w:p>
        </w:tc>
      </w:tr>
      <w:tr w:rsidR="008E6675" w:rsidRPr="007F255B" w14:paraId="74D10DD0" w14:textId="77777777">
        <w:tc>
          <w:tcPr>
            <w:tcW w:w="9212" w:type="dxa"/>
          </w:tcPr>
          <w:p w14:paraId="49E517DB" w14:textId="2F39BE9C" w:rsidR="008E6675" w:rsidRPr="007F255B" w:rsidRDefault="00595791">
            <w:pPr>
              <w:rPr>
                <w:rFonts w:ascii="Arial Narrow" w:hAnsi="Arial Narrow"/>
                <w:sz w:val="22"/>
                <w:szCs w:val="22"/>
              </w:rPr>
            </w:pPr>
            <w:r w:rsidRPr="00595791">
              <w:rPr>
                <w:rFonts w:ascii="Arial Narrow" w:hAnsi="Arial Narrow"/>
                <w:sz w:val="22"/>
                <w:szCs w:val="22"/>
              </w:rPr>
              <w:t>In Deutschland startete die erste klinische Studie mit Blinatumomab im Jahr 2004 (Phase 1 Studie bei Patienten mit Non-Hodgkin-Lymphom).</w:t>
            </w:r>
            <w:r w:rsidR="006F09EB">
              <w:rPr>
                <w:rFonts w:ascii="Arial Narrow" w:hAnsi="Arial Narrow"/>
                <w:sz w:val="22"/>
                <w:szCs w:val="22"/>
              </w:rPr>
              <w:t xml:space="preserve"> </w:t>
            </w:r>
            <w:r w:rsidRPr="00595791">
              <w:rPr>
                <w:rFonts w:ascii="Arial Narrow" w:hAnsi="Arial Narrow"/>
                <w:sz w:val="22"/>
                <w:szCs w:val="22"/>
              </w:rPr>
              <w:t>Blinatumomab wurde vom Hersteller am 15.12.2015 in Deutschland eingeführt, aktuell setzen mehr als 30 Zentren Blinatumomab ein. Zuvor wurde Blinatumomab im Rahmen von Importen und eines Härtefallprogramms eingesetzt.</w:t>
            </w:r>
          </w:p>
        </w:tc>
      </w:tr>
    </w:tbl>
    <w:p w14:paraId="130BDBED"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FD9EF8A" w14:textId="77777777">
        <w:tc>
          <w:tcPr>
            <w:tcW w:w="9212" w:type="dxa"/>
          </w:tcPr>
          <w:p w14:paraId="4900D436" w14:textId="77777777" w:rsidR="008E6675" w:rsidRPr="005638EB" w:rsidRDefault="008E6675" w:rsidP="005638EB">
            <w:pPr>
              <w:rPr>
                <w:rFonts w:ascii="Arial Narrow" w:hAnsi="Arial Narrow"/>
                <w:b/>
              </w:rPr>
            </w:pPr>
            <w:r w:rsidRPr="005638EB">
              <w:rPr>
                <w:rFonts w:ascii="Arial Narrow" w:hAnsi="Arial Narrow"/>
                <w:b/>
                <w:sz w:val="22"/>
              </w:rPr>
              <w:t>3.2 Bei Medikamenten: Wann wurde dieses Medikament zugelassen?</w:t>
            </w:r>
          </w:p>
        </w:tc>
      </w:tr>
      <w:tr w:rsidR="008E6675" w:rsidRPr="007F255B" w14:paraId="45BDF960" w14:textId="77777777">
        <w:tc>
          <w:tcPr>
            <w:tcW w:w="9212" w:type="dxa"/>
          </w:tcPr>
          <w:p w14:paraId="26C74565" w14:textId="77777777" w:rsidR="008E6675" w:rsidRPr="007F255B" w:rsidRDefault="00595791" w:rsidP="00A530BE">
            <w:pPr>
              <w:rPr>
                <w:rFonts w:ascii="Arial Narrow" w:hAnsi="Arial Narrow"/>
                <w:sz w:val="22"/>
                <w:szCs w:val="22"/>
              </w:rPr>
            </w:pPr>
            <w:r w:rsidRPr="00595791">
              <w:rPr>
                <w:rFonts w:ascii="Arial Narrow" w:hAnsi="Arial Narrow"/>
                <w:sz w:val="22"/>
                <w:szCs w:val="22"/>
              </w:rPr>
              <w:t>Die Zulassung von Blinatumomab für die EU durch die EMA erfolgte am 23. November 2015.</w:t>
            </w:r>
          </w:p>
        </w:tc>
      </w:tr>
    </w:tbl>
    <w:p w14:paraId="2414AEDE"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D5D78B6" w14:textId="77777777">
        <w:tc>
          <w:tcPr>
            <w:tcW w:w="9212" w:type="dxa"/>
          </w:tcPr>
          <w:p w14:paraId="48855011" w14:textId="77777777" w:rsidR="008E6675" w:rsidRPr="005638EB" w:rsidRDefault="008E6675" w:rsidP="005638EB">
            <w:pPr>
              <w:rPr>
                <w:rFonts w:ascii="Arial Narrow" w:hAnsi="Arial Narrow"/>
                <w:b/>
              </w:rPr>
            </w:pPr>
            <w:r w:rsidRPr="005638EB">
              <w:rPr>
                <w:rFonts w:ascii="Arial Narrow" w:hAnsi="Arial Narrow"/>
                <w:b/>
                <w:sz w:val="22"/>
              </w:rPr>
              <w:t>3.3 Wann wurde die Methode in Ihrem Krankenhaus eingeführt?</w:t>
            </w:r>
          </w:p>
        </w:tc>
      </w:tr>
      <w:tr w:rsidR="008E6675" w:rsidRPr="005638EB" w14:paraId="273A0E15" w14:textId="77777777">
        <w:tc>
          <w:tcPr>
            <w:tcW w:w="9212" w:type="dxa"/>
          </w:tcPr>
          <w:p w14:paraId="45ECC478" w14:textId="77777777" w:rsidR="008E6675" w:rsidRPr="005638EB" w:rsidRDefault="008E6675" w:rsidP="005638EB">
            <w:pPr>
              <w:rPr>
                <w:rFonts w:ascii="Arial Narrow" w:hAnsi="Arial Narrow"/>
              </w:rPr>
            </w:pPr>
            <w:r w:rsidRPr="005638EB">
              <w:rPr>
                <w:rFonts w:ascii="Arial Narrow" w:hAnsi="Arial Narrow"/>
                <w:sz w:val="22"/>
                <w:highlight w:val="yellow"/>
              </w:rPr>
              <w:t>XXXXX</w:t>
            </w:r>
          </w:p>
        </w:tc>
      </w:tr>
    </w:tbl>
    <w:p w14:paraId="793AF0FA"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8A68F6A" w14:textId="77777777">
        <w:tc>
          <w:tcPr>
            <w:tcW w:w="9212" w:type="dxa"/>
          </w:tcPr>
          <w:p w14:paraId="653B8D3F" w14:textId="77777777" w:rsidR="008E6675" w:rsidRPr="005638EB" w:rsidRDefault="008E6675" w:rsidP="005638EB">
            <w:pPr>
              <w:rPr>
                <w:rFonts w:ascii="Arial Narrow" w:hAnsi="Arial Narrow"/>
                <w:b/>
              </w:rPr>
            </w:pPr>
            <w:r w:rsidRPr="005638EB">
              <w:rPr>
                <w:rFonts w:ascii="Arial Narrow" w:hAnsi="Arial Narrow"/>
                <w:b/>
                <w:sz w:val="22"/>
              </w:rPr>
              <w:t>3.4 In wie vielen Kliniken wird diese Methode derzeit eingesetzt (Schätzung)?</w:t>
            </w:r>
          </w:p>
        </w:tc>
      </w:tr>
      <w:tr w:rsidR="008E6675" w:rsidRPr="005638EB" w14:paraId="5C80D2DB" w14:textId="77777777">
        <w:tc>
          <w:tcPr>
            <w:tcW w:w="9212" w:type="dxa"/>
          </w:tcPr>
          <w:p w14:paraId="68D8B411" w14:textId="77777777" w:rsidR="008E6675" w:rsidRPr="005638EB" w:rsidRDefault="00595791" w:rsidP="008E1C7A">
            <w:pPr>
              <w:rPr>
                <w:rFonts w:ascii="Arial Narrow" w:hAnsi="Arial Narrow"/>
              </w:rPr>
            </w:pPr>
            <w:r w:rsidRPr="00595791">
              <w:rPr>
                <w:rFonts w:ascii="Arial Narrow" w:hAnsi="Arial Narrow"/>
                <w:sz w:val="22"/>
              </w:rPr>
              <w:t>Aktuell setzen &gt; 30 Zentren Blinatumomab ein. (Herstellerangabe)</w:t>
            </w:r>
          </w:p>
        </w:tc>
      </w:tr>
    </w:tbl>
    <w:p w14:paraId="5525FDDD"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8FD459A" w14:textId="77777777">
        <w:tc>
          <w:tcPr>
            <w:tcW w:w="9212" w:type="dxa"/>
          </w:tcPr>
          <w:p w14:paraId="2D88ED1D" w14:textId="58225CCB" w:rsidR="008E6675" w:rsidRPr="005638EB" w:rsidRDefault="008E6675" w:rsidP="00E92C57">
            <w:pPr>
              <w:rPr>
                <w:rFonts w:ascii="Arial Narrow" w:hAnsi="Arial Narrow"/>
              </w:rPr>
            </w:pPr>
            <w:r w:rsidRPr="008C1686">
              <w:rPr>
                <w:rFonts w:ascii="Arial Narrow" w:hAnsi="Arial Narrow"/>
                <w:b/>
                <w:sz w:val="22"/>
              </w:rPr>
              <w:t>3.5 Wie viele Patienten wur</w:t>
            </w:r>
            <w:r w:rsidR="00A530BE">
              <w:rPr>
                <w:rFonts w:ascii="Arial Narrow" w:hAnsi="Arial Narrow"/>
                <w:b/>
                <w:sz w:val="22"/>
              </w:rPr>
              <w:t>den in Ihrem Krankenhaus in 201</w:t>
            </w:r>
            <w:r w:rsidR="00703A71">
              <w:rPr>
                <w:rFonts w:ascii="Arial Narrow" w:hAnsi="Arial Narrow"/>
                <w:b/>
                <w:sz w:val="22"/>
              </w:rPr>
              <w:t>6</w:t>
            </w:r>
            <w:r w:rsidR="00A530BE">
              <w:rPr>
                <w:rFonts w:ascii="Arial Narrow" w:hAnsi="Arial Narrow"/>
                <w:b/>
                <w:sz w:val="22"/>
              </w:rPr>
              <w:t xml:space="preserve"> oder in 201</w:t>
            </w:r>
            <w:r w:rsidR="00703A71">
              <w:rPr>
                <w:rFonts w:ascii="Arial Narrow" w:hAnsi="Arial Narrow"/>
                <w:b/>
                <w:sz w:val="22"/>
              </w:rPr>
              <w:t>7</w:t>
            </w:r>
            <w:r w:rsidRPr="008C1686">
              <w:rPr>
                <w:rFonts w:ascii="Arial Narrow" w:hAnsi="Arial Narrow"/>
                <w:b/>
                <w:sz w:val="22"/>
              </w:rPr>
              <w:t xml:space="preserve"> mit dieser Methode behandelt?</w:t>
            </w:r>
          </w:p>
        </w:tc>
      </w:tr>
      <w:tr w:rsidR="008E6675" w:rsidRPr="005638EB" w14:paraId="46CCC1BE" w14:textId="77777777">
        <w:tc>
          <w:tcPr>
            <w:tcW w:w="9212" w:type="dxa"/>
          </w:tcPr>
          <w:p w14:paraId="27641D82" w14:textId="1337CBD8" w:rsidR="008E6675" w:rsidRPr="005638EB" w:rsidRDefault="008E6675" w:rsidP="0028432D">
            <w:pPr>
              <w:rPr>
                <w:rFonts w:ascii="Arial Narrow" w:hAnsi="Arial Narrow"/>
              </w:rPr>
            </w:pPr>
            <w:r w:rsidRPr="005638EB">
              <w:rPr>
                <w:rFonts w:ascii="Arial Narrow" w:hAnsi="Arial Narrow"/>
              </w:rPr>
              <w:t xml:space="preserve">In </w:t>
            </w:r>
            <w:r w:rsidR="00CD2365">
              <w:rPr>
                <w:rFonts w:ascii="Arial Narrow" w:hAnsi="Arial Narrow"/>
              </w:rPr>
              <w:t>201</w:t>
            </w:r>
            <w:r w:rsidR="00703A71">
              <w:rPr>
                <w:rFonts w:ascii="Arial Narrow" w:hAnsi="Arial Narrow"/>
              </w:rPr>
              <w:t>6</w:t>
            </w:r>
          </w:p>
        </w:tc>
      </w:tr>
      <w:tr w:rsidR="008E6675" w:rsidRPr="005638EB" w14:paraId="5C581A8D" w14:textId="77777777">
        <w:tc>
          <w:tcPr>
            <w:tcW w:w="9212" w:type="dxa"/>
          </w:tcPr>
          <w:p w14:paraId="383174BC" w14:textId="77777777" w:rsidR="008E6675" w:rsidRPr="005638EB" w:rsidRDefault="008E6675" w:rsidP="005638EB">
            <w:pPr>
              <w:rPr>
                <w:rFonts w:ascii="Arial Narrow" w:hAnsi="Arial Narrow"/>
              </w:rPr>
            </w:pPr>
            <w:r w:rsidRPr="005638EB">
              <w:rPr>
                <w:rFonts w:ascii="Arial Narrow" w:hAnsi="Arial Narrow"/>
                <w:sz w:val="22"/>
                <w:highlight w:val="yellow"/>
              </w:rPr>
              <w:t>XXXXX</w:t>
            </w:r>
          </w:p>
        </w:tc>
      </w:tr>
      <w:tr w:rsidR="008E6675" w:rsidRPr="005638EB" w14:paraId="74107018" w14:textId="77777777">
        <w:tc>
          <w:tcPr>
            <w:tcW w:w="9212" w:type="dxa"/>
          </w:tcPr>
          <w:p w14:paraId="3AFF6D49" w14:textId="66F4AEE5" w:rsidR="008E6675" w:rsidRPr="005638EB" w:rsidRDefault="008E6675" w:rsidP="0028432D">
            <w:pPr>
              <w:rPr>
                <w:rFonts w:ascii="Arial Narrow" w:hAnsi="Arial Narrow"/>
              </w:rPr>
            </w:pPr>
            <w:r w:rsidRPr="005638EB">
              <w:rPr>
                <w:rFonts w:ascii="Arial Narrow" w:hAnsi="Arial Narrow"/>
              </w:rPr>
              <w:t xml:space="preserve">In </w:t>
            </w:r>
            <w:r>
              <w:rPr>
                <w:rFonts w:ascii="Arial Narrow" w:hAnsi="Arial Narrow"/>
              </w:rPr>
              <w:t>201</w:t>
            </w:r>
            <w:r w:rsidR="00703A71">
              <w:rPr>
                <w:rFonts w:ascii="Arial Narrow" w:hAnsi="Arial Narrow"/>
              </w:rPr>
              <w:t>7</w:t>
            </w:r>
          </w:p>
        </w:tc>
      </w:tr>
      <w:tr w:rsidR="008E6675" w:rsidRPr="005638EB" w14:paraId="3873CD86" w14:textId="77777777">
        <w:tc>
          <w:tcPr>
            <w:tcW w:w="9212" w:type="dxa"/>
          </w:tcPr>
          <w:p w14:paraId="35A93C1C" w14:textId="77777777" w:rsidR="008E6675" w:rsidRPr="005638EB" w:rsidRDefault="008E6675" w:rsidP="005638EB">
            <w:pPr>
              <w:rPr>
                <w:rFonts w:ascii="Arial Narrow" w:hAnsi="Arial Narrow"/>
              </w:rPr>
            </w:pPr>
            <w:r w:rsidRPr="005638EB">
              <w:rPr>
                <w:rFonts w:ascii="Arial Narrow" w:hAnsi="Arial Narrow"/>
                <w:sz w:val="22"/>
                <w:highlight w:val="yellow"/>
              </w:rPr>
              <w:t>XXXXX</w:t>
            </w:r>
          </w:p>
        </w:tc>
      </w:tr>
    </w:tbl>
    <w:p w14:paraId="4DA04EDE"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CBB167C" w14:textId="77777777">
        <w:tc>
          <w:tcPr>
            <w:tcW w:w="9212" w:type="dxa"/>
          </w:tcPr>
          <w:p w14:paraId="51EFEF45" w14:textId="4C4CD1BA" w:rsidR="008E6675" w:rsidRPr="005638EB" w:rsidRDefault="008E6675" w:rsidP="00DC6CBD">
            <w:pPr>
              <w:rPr>
                <w:rFonts w:ascii="Arial Narrow" w:hAnsi="Arial Narrow"/>
              </w:rPr>
            </w:pPr>
            <w:r w:rsidRPr="008C1686">
              <w:rPr>
                <w:rFonts w:ascii="Arial Narrow" w:hAnsi="Arial Narrow"/>
                <w:b/>
                <w:sz w:val="22"/>
              </w:rPr>
              <w:t>3.6 Wieviele P</w:t>
            </w:r>
            <w:r w:rsidR="00A530BE">
              <w:rPr>
                <w:rFonts w:ascii="Arial Narrow" w:hAnsi="Arial Narrow"/>
                <w:b/>
                <w:sz w:val="22"/>
              </w:rPr>
              <w:t>atienten planen Sie im Jahr 201</w:t>
            </w:r>
            <w:r w:rsidR="00703A71">
              <w:rPr>
                <w:rFonts w:ascii="Arial Narrow" w:hAnsi="Arial Narrow"/>
                <w:b/>
                <w:sz w:val="22"/>
              </w:rPr>
              <w:t>8</w:t>
            </w:r>
            <w:r w:rsidRPr="008C1686">
              <w:rPr>
                <w:rFonts w:ascii="Arial Narrow" w:hAnsi="Arial Narrow"/>
                <w:b/>
                <w:sz w:val="22"/>
              </w:rPr>
              <w:t xml:space="preserve"> mit dieser Methode zu behandeln?</w:t>
            </w:r>
          </w:p>
        </w:tc>
      </w:tr>
      <w:tr w:rsidR="008E6675" w:rsidRPr="005638EB" w14:paraId="1CDB7B11" w14:textId="77777777">
        <w:tc>
          <w:tcPr>
            <w:tcW w:w="9212" w:type="dxa"/>
          </w:tcPr>
          <w:p w14:paraId="305A8CE2" w14:textId="77777777" w:rsidR="008E6675" w:rsidRPr="005638EB" w:rsidRDefault="008E6675" w:rsidP="005638EB">
            <w:pPr>
              <w:rPr>
                <w:rFonts w:ascii="Arial Narrow" w:hAnsi="Arial Narrow"/>
              </w:rPr>
            </w:pPr>
            <w:r w:rsidRPr="005638EB">
              <w:rPr>
                <w:rFonts w:ascii="Arial Narrow" w:hAnsi="Arial Narrow"/>
                <w:sz w:val="22"/>
                <w:highlight w:val="yellow"/>
              </w:rPr>
              <w:t>XXXXX</w:t>
            </w:r>
          </w:p>
        </w:tc>
      </w:tr>
    </w:tbl>
    <w:p w14:paraId="2B0D0129"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6B663FD" w14:textId="77777777">
        <w:tc>
          <w:tcPr>
            <w:tcW w:w="9212" w:type="dxa"/>
          </w:tcPr>
          <w:p w14:paraId="2CF24E66" w14:textId="77777777" w:rsidR="008E6675" w:rsidRPr="005638EB" w:rsidRDefault="008E6675" w:rsidP="005638EB">
            <w:pPr>
              <w:rPr>
                <w:rFonts w:ascii="Arial Narrow" w:hAnsi="Arial Narrow"/>
              </w:rPr>
            </w:pPr>
            <w:r w:rsidRPr="008C1686">
              <w:rPr>
                <w:rFonts w:ascii="Arial Narrow" w:hAnsi="Arial Narrow"/>
                <w:b/>
                <w:sz w:val="22"/>
              </w:rPr>
              <w:t>4.1 Entstehen durch die neue Methode Mehrkosten gegenüber dem bisher üblichen Verfahren? Wenn ja, wodurch? In welcher Höhe (möglichst aufgetrennt nach Personal- und Sachkosten)?</w:t>
            </w:r>
          </w:p>
        </w:tc>
      </w:tr>
      <w:tr w:rsidR="008E6675" w:rsidRPr="005638EB" w14:paraId="74E2FC61" w14:textId="77777777">
        <w:tc>
          <w:tcPr>
            <w:tcW w:w="9212" w:type="dxa"/>
          </w:tcPr>
          <w:p w14:paraId="7E26BEF1" w14:textId="77777777" w:rsidR="00595791" w:rsidRPr="00595791" w:rsidRDefault="00595791" w:rsidP="00595791">
            <w:pPr>
              <w:rPr>
                <w:rFonts w:ascii="Arial Narrow" w:hAnsi="Arial Narrow"/>
                <w:sz w:val="22"/>
                <w:szCs w:val="22"/>
              </w:rPr>
            </w:pPr>
            <w:r w:rsidRPr="00595791">
              <w:rPr>
                <w:rFonts w:ascii="Arial Narrow" w:hAnsi="Arial Narrow"/>
                <w:sz w:val="22"/>
                <w:szCs w:val="22"/>
              </w:rPr>
              <w:t>Sachkosten:</w:t>
            </w:r>
          </w:p>
          <w:p w14:paraId="2F78222E" w14:textId="55522024" w:rsidR="00595791" w:rsidRPr="00595791" w:rsidRDefault="00595791" w:rsidP="00595791">
            <w:pPr>
              <w:rPr>
                <w:rFonts w:ascii="Arial Narrow" w:hAnsi="Arial Narrow"/>
                <w:sz w:val="22"/>
                <w:szCs w:val="22"/>
              </w:rPr>
            </w:pPr>
            <w:r w:rsidRPr="00D0759B">
              <w:rPr>
                <w:rFonts w:ascii="Arial Narrow" w:hAnsi="Arial Narrow"/>
                <w:sz w:val="22"/>
                <w:szCs w:val="22"/>
              </w:rPr>
              <w:t xml:space="preserve">Blinatumomab ist im ersten Zyklus zumindest während der ersten </w:t>
            </w:r>
            <w:r w:rsidR="00004883" w:rsidRPr="00D0759B">
              <w:rPr>
                <w:rFonts w:ascii="Arial Narrow" w:hAnsi="Arial Narrow"/>
                <w:sz w:val="22"/>
                <w:szCs w:val="22"/>
              </w:rPr>
              <w:t xml:space="preserve">5 </w:t>
            </w:r>
            <w:r w:rsidRPr="00D0759B">
              <w:rPr>
                <w:rFonts w:ascii="Arial Narrow" w:hAnsi="Arial Narrow"/>
                <w:sz w:val="22"/>
                <w:szCs w:val="22"/>
              </w:rPr>
              <w:t>Tage stationär zu verabreichen, im zweiten Zyklus zumindest während der ersten 2 Tage. Viele Patienten werden aufgrund von Komplikationen aufgrund der Grunderkrankung sowie deren Therapie für eine längere Zeit als diese Mindestzeit stationär behandelt werden müssen.</w:t>
            </w:r>
          </w:p>
          <w:p w14:paraId="2EC417A7" w14:textId="1E55AC86" w:rsidR="00595791" w:rsidRPr="00595791" w:rsidRDefault="00595791" w:rsidP="00595791">
            <w:pPr>
              <w:rPr>
                <w:rFonts w:ascii="Arial Narrow" w:hAnsi="Arial Narrow"/>
                <w:sz w:val="22"/>
                <w:szCs w:val="22"/>
              </w:rPr>
            </w:pPr>
            <w:r w:rsidRPr="00595791">
              <w:rPr>
                <w:rFonts w:ascii="Arial Narrow" w:hAnsi="Arial Narrow"/>
                <w:sz w:val="22"/>
                <w:szCs w:val="22"/>
              </w:rPr>
              <w:t>In Deutschland koste</w:t>
            </w:r>
            <w:r>
              <w:rPr>
                <w:rFonts w:ascii="Arial Narrow" w:hAnsi="Arial Narrow"/>
                <w:sz w:val="22"/>
                <w:szCs w:val="22"/>
              </w:rPr>
              <w:t>t</w:t>
            </w:r>
            <w:r w:rsidRPr="00595791">
              <w:rPr>
                <w:rFonts w:ascii="Arial Narrow" w:hAnsi="Arial Narrow"/>
                <w:sz w:val="22"/>
                <w:szCs w:val="22"/>
              </w:rPr>
              <w:t xml:space="preserve"> eine Durchstichflasche à 38,5 μg 3</w:t>
            </w:r>
            <w:r w:rsidR="00543ED4">
              <w:rPr>
                <w:rFonts w:ascii="Arial Narrow" w:hAnsi="Arial Narrow"/>
                <w:sz w:val="22"/>
                <w:szCs w:val="22"/>
              </w:rPr>
              <w:t>.</w:t>
            </w:r>
            <w:r w:rsidRPr="00595791">
              <w:rPr>
                <w:rFonts w:ascii="Arial Narrow" w:hAnsi="Arial Narrow"/>
                <w:sz w:val="22"/>
                <w:szCs w:val="22"/>
              </w:rPr>
              <w:t xml:space="preserve">363,04 € (Abgabepreis pharmazeutischer Unternehmer, entspricht dem Einkaufspreis für Kliniken, </w:t>
            </w:r>
            <w:r w:rsidR="00543ED4">
              <w:rPr>
                <w:rFonts w:ascii="Arial Narrow" w:hAnsi="Arial Narrow"/>
                <w:sz w:val="22"/>
                <w:szCs w:val="22"/>
              </w:rPr>
              <w:t>B</w:t>
            </w:r>
            <w:r w:rsidRPr="00595791">
              <w:rPr>
                <w:rFonts w:ascii="Arial Narrow" w:hAnsi="Arial Narrow"/>
                <w:sz w:val="22"/>
                <w:szCs w:val="22"/>
              </w:rPr>
              <w:t>rutto in</w:t>
            </w:r>
            <w:r w:rsidR="006F09EB">
              <w:rPr>
                <w:rFonts w:ascii="Arial Narrow" w:hAnsi="Arial Narrow"/>
                <w:sz w:val="22"/>
                <w:szCs w:val="22"/>
              </w:rPr>
              <w:t>k</w:t>
            </w:r>
            <w:r w:rsidRPr="00595791">
              <w:rPr>
                <w:rFonts w:ascii="Arial Narrow" w:hAnsi="Arial Narrow"/>
                <w:sz w:val="22"/>
                <w:szCs w:val="22"/>
              </w:rPr>
              <w:t>l</w:t>
            </w:r>
            <w:r w:rsidR="006F09EB">
              <w:rPr>
                <w:rFonts w:ascii="Arial Narrow" w:hAnsi="Arial Narrow"/>
                <w:sz w:val="22"/>
                <w:szCs w:val="22"/>
              </w:rPr>
              <w:t>.</w:t>
            </w:r>
            <w:r w:rsidRPr="00595791">
              <w:rPr>
                <w:rFonts w:ascii="Arial Narrow" w:hAnsi="Arial Narrow"/>
                <w:sz w:val="22"/>
                <w:szCs w:val="22"/>
              </w:rPr>
              <w:t xml:space="preserve"> M</w:t>
            </w:r>
            <w:r w:rsidR="00543ED4">
              <w:rPr>
                <w:rFonts w:ascii="Arial Narrow" w:hAnsi="Arial Narrow"/>
                <w:sz w:val="22"/>
                <w:szCs w:val="22"/>
              </w:rPr>
              <w:t>w</w:t>
            </w:r>
            <w:r w:rsidRPr="00595791">
              <w:rPr>
                <w:rFonts w:ascii="Arial Narrow" w:hAnsi="Arial Narrow"/>
                <w:sz w:val="22"/>
                <w:szCs w:val="22"/>
              </w:rPr>
              <w:t xml:space="preserve">St). </w:t>
            </w:r>
            <w:r w:rsidR="00004883">
              <w:rPr>
                <w:rFonts w:ascii="Arial Narrow" w:hAnsi="Arial Narrow"/>
                <w:sz w:val="22"/>
                <w:szCs w:val="22"/>
              </w:rPr>
              <w:t>Es en</w:t>
            </w:r>
            <w:r w:rsidR="00543ED4">
              <w:rPr>
                <w:rFonts w:ascii="Arial Narrow" w:hAnsi="Arial Narrow"/>
                <w:sz w:val="22"/>
                <w:szCs w:val="22"/>
              </w:rPr>
              <w:t>t</w:t>
            </w:r>
            <w:r w:rsidR="00004883">
              <w:rPr>
                <w:rFonts w:ascii="Arial Narrow" w:hAnsi="Arial Narrow"/>
                <w:sz w:val="22"/>
                <w:szCs w:val="22"/>
              </w:rPr>
              <w:t>stehen (bei initialem Einsatz von 15 µg/m²/Tag Behandlungskosten von etwa 1</w:t>
            </w:r>
            <w:r w:rsidR="00543ED4">
              <w:rPr>
                <w:rFonts w:ascii="Arial Narrow" w:hAnsi="Arial Narrow"/>
                <w:sz w:val="22"/>
                <w:szCs w:val="22"/>
              </w:rPr>
              <w:t>.</w:t>
            </w:r>
            <w:r w:rsidR="00004883">
              <w:rPr>
                <w:rFonts w:ascii="Arial Narrow" w:hAnsi="Arial Narrow"/>
                <w:sz w:val="22"/>
                <w:szCs w:val="22"/>
              </w:rPr>
              <w:t>310,</w:t>
            </w:r>
            <w:r w:rsidR="00543ED4">
              <w:rPr>
                <w:rFonts w:ascii="Arial Narrow" w:hAnsi="Arial Narrow"/>
                <w:sz w:val="22"/>
                <w:szCs w:val="22"/>
              </w:rPr>
              <w:t>00</w:t>
            </w:r>
            <w:r w:rsidR="00004883">
              <w:rPr>
                <w:rFonts w:ascii="Arial Narrow" w:hAnsi="Arial Narrow"/>
                <w:sz w:val="22"/>
                <w:szCs w:val="22"/>
              </w:rPr>
              <w:t xml:space="preserve"> </w:t>
            </w:r>
            <w:r w:rsidR="00543ED4">
              <w:rPr>
                <w:rFonts w:ascii="Arial Narrow" w:hAnsi="Arial Narrow"/>
                <w:sz w:val="22"/>
                <w:szCs w:val="22"/>
              </w:rPr>
              <w:t>€</w:t>
            </w:r>
            <w:r w:rsidR="00004883">
              <w:rPr>
                <w:rFonts w:ascii="Arial Narrow" w:hAnsi="Arial Narrow"/>
                <w:sz w:val="22"/>
                <w:szCs w:val="22"/>
              </w:rPr>
              <w:t xml:space="preserve">/m²/Tag. </w:t>
            </w:r>
            <w:r w:rsidRPr="00D0759B">
              <w:rPr>
                <w:rFonts w:ascii="Arial Narrow" w:hAnsi="Arial Narrow"/>
                <w:sz w:val="22"/>
                <w:szCs w:val="22"/>
              </w:rPr>
              <w:t xml:space="preserve">Wenn ein voller Zyklus aus gesundheitlichen Gründen stationär durchgeführt werden muss, </w:t>
            </w:r>
            <w:r w:rsidR="00004883" w:rsidRPr="00D0759B">
              <w:rPr>
                <w:rFonts w:ascii="Arial Narrow" w:hAnsi="Arial Narrow"/>
                <w:sz w:val="22"/>
                <w:szCs w:val="22"/>
              </w:rPr>
              <w:t>entstehen Behandlungskosten von 36.687,</w:t>
            </w:r>
            <w:r w:rsidR="00543ED4">
              <w:rPr>
                <w:rFonts w:ascii="Arial Narrow" w:hAnsi="Arial Narrow"/>
                <w:sz w:val="22"/>
                <w:szCs w:val="22"/>
              </w:rPr>
              <w:t>00</w:t>
            </w:r>
            <w:r w:rsidR="00004883" w:rsidRPr="00D0759B">
              <w:rPr>
                <w:rFonts w:ascii="Arial Narrow" w:hAnsi="Arial Narrow"/>
                <w:sz w:val="22"/>
                <w:szCs w:val="22"/>
              </w:rPr>
              <w:t xml:space="preserve"> </w:t>
            </w:r>
            <w:r w:rsidR="00543ED4">
              <w:rPr>
                <w:rFonts w:ascii="Arial Narrow" w:hAnsi="Arial Narrow"/>
                <w:sz w:val="22"/>
                <w:szCs w:val="22"/>
              </w:rPr>
              <w:t>€</w:t>
            </w:r>
            <w:r w:rsidR="00004883" w:rsidRPr="00D0759B">
              <w:rPr>
                <w:rFonts w:ascii="Arial Narrow" w:hAnsi="Arial Narrow"/>
                <w:sz w:val="22"/>
                <w:szCs w:val="22"/>
              </w:rPr>
              <w:t>/m²</w:t>
            </w:r>
            <w:r w:rsidRPr="00D0759B">
              <w:rPr>
                <w:rFonts w:ascii="Arial Narrow" w:hAnsi="Arial Narrow"/>
                <w:sz w:val="22"/>
                <w:szCs w:val="22"/>
              </w:rPr>
              <w:t>.</w:t>
            </w:r>
          </w:p>
          <w:p w14:paraId="33CC2C73" w14:textId="77777777" w:rsidR="00595791" w:rsidRPr="00595791" w:rsidRDefault="00595791" w:rsidP="00595791">
            <w:pPr>
              <w:rPr>
                <w:rFonts w:ascii="Arial Narrow" w:hAnsi="Arial Narrow"/>
                <w:sz w:val="22"/>
                <w:szCs w:val="22"/>
              </w:rPr>
            </w:pPr>
            <w:r w:rsidRPr="00595791">
              <w:rPr>
                <w:rFonts w:ascii="Arial Narrow" w:hAnsi="Arial Narrow"/>
                <w:sz w:val="22"/>
                <w:szCs w:val="22"/>
              </w:rPr>
              <w:t>Personalkosten:</w:t>
            </w:r>
          </w:p>
          <w:p w14:paraId="23D31BEC" w14:textId="315AFAB4" w:rsidR="008E1C7A" w:rsidRPr="005638EB" w:rsidRDefault="00595791" w:rsidP="008E1C7A">
            <w:pPr>
              <w:rPr>
                <w:rFonts w:ascii="Arial Narrow" w:hAnsi="Arial Narrow"/>
              </w:rPr>
            </w:pPr>
            <w:r w:rsidRPr="00595791">
              <w:rPr>
                <w:rFonts w:ascii="Arial Narrow" w:hAnsi="Arial Narrow"/>
                <w:sz w:val="22"/>
                <w:szCs w:val="22"/>
              </w:rPr>
              <w:t>gering im Vergleich zu den Sachkosten</w:t>
            </w:r>
          </w:p>
        </w:tc>
      </w:tr>
    </w:tbl>
    <w:p w14:paraId="42F918AA" w14:textId="77777777" w:rsidR="008E6675" w:rsidRPr="005638EB"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A6358A4" w14:textId="77777777">
        <w:tc>
          <w:tcPr>
            <w:tcW w:w="9212" w:type="dxa"/>
          </w:tcPr>
          <w:p w14:paraId="6933FC4F" w14:textId="77777777" w:rsidR="008E6675" w:rsidRPr="005638EB" w:rsidRDefault="008E6675" w:rsidP="005638EB">
            <w:pPr>
              <w:rPr>
                <w:rFonts w:ascii="Arial Narrow" w:hAnsi="Arial Narrow"/>
              </w:rPr>
            </w:pPr>
            <w:r w:rsidRPr="008C1686">
              <w:rPr>
                <w:rFonts w:ascii="Arial Narrow" w:hAnsi="Arial Narrow"/>
                <w:b/>
                <w:sz w:val="22"/>
              </w:rPr>
              <w:t>4.2 Welche DRG(s) ist/sind am häufigsten von dieser Methode betroffen?</w:t>
            </w:r>
          </w:p>
        </w:tc>
      </w:tr>
      <w:tr w:rsidR="008E6675" w:rsidRPr="005638EB" w14:paraId="278C143A" w14:textId="77777777">
        <w:tc>
          <w:tcPr>
            <w:tcW w:w="9212" w:type="dxa"/>
          </w:tcPr>
          <w:p w14:paraId="204C3B4F" w14:textId="57C862F3" w:rsidR="008E6675" w:rsidRPr="005638EB" w:rsidRDefault="00595791" w:rsidP="00543ED4">
            <w:pPr>
              <w:rPr>
                <w:rFonts w:ascii="Arial Narrow" w:hAnsi="Arial Narrow"/>
              </w:rPr>
            </w:pPr>
            <w:r w:rsidRPr="00595791">
              <w:rPr>
                <w:rFonts w:ascii="Arial Narrow" w:hAnsi="Arial Narrow"/>
                <w:sz w:val="22"/>
              </w:rPr>
              <w:t xml:space="preserve">Basis-DRG R63. Die Gruppierung hängt ab von den Komplikationen, </w:t>
            </w:r>
            <w:r w:rsidR="00543ED4">
              <w:rPr>
                <w:rFonts w:ascii="Arial Narrow" w:hAnsi="Arial Narrow"/>
                <w:sz w:val="22"/>
              </w:rPr>
              <w:t xml:space="preserve">von </w:t>
            </w:r>
            <w:r w:rsidRPr="00595791">
              <w:rPr>
                <w:rFonts w:ascii="Arial Narrow" w:hAnsi="Arial Narrow"/>
                <w:sz w:val="22"/>
              </w:rPr>
              <w:t>Komorbiditäten und</w:t>
            </w:r>
            <w:r w:rsidR="00543ED4">
              <w:rPr>
                <w:rFonts w:ascii="Arial Narrow" w:hAnsi="Arial Narrow"/>
                <w:sz w:val="22"/>
              </w:rPr>
              <w:t xml:space="preserve"> von der</w:t>
            </w:r>
            <w:r w:rsidRPr="00595791">
              <w:rPr>
                <w:rFonts w:ascii="Arial Narrow" w:hAnsi="Arial Narrow"/>
                <w:sz w:val="22"/>
              </w:rPr>
              <w:t xml:space="preserve"> während der gleichen Aufenthalte applizierten Chemotherapie.</w:t>
            </w:r>
          </w:p>
        </w:tc>
      </w:tr>
    </w:tbl>
    <w:p w14:paraId="43F0B655" w14:textId="77777777" w:rsidR="008E6675" w:rsidRPr="005638EB"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9485AAE" w14:textId="77777777">
        <w:tc>
          <w:tcPr>
            <w:tcW w:w="9212" w:type="dxa"/>
          </w:tcPr>
          <w:p w14:paraId="048FBCBD" w14:textId="77777777" w:rsidR="008E6675" w:rsidRPr="005638EB" w:rsidRDefault="008E6675" w:rsidP="005638EB">
            <w:pPr>
              <w:rPr>
                <w:rFonts w:ascii="Arial Narrow" w:hAnsi="Arial Narrow"/>
              </w:rPr>
            </w:pPr>
            <w:r w:rsidRPr="00F33C60">
              <w:rPr>
                <w:rFonts w:ascii="Arial Narrow" w:hAnsi="Arial Narrow"/>
                <w:b/>
              </w:rPr>
              <w:t>4</w:t>
            </w:r>
            <w:r w:rsidRPr="00F33C60">
              <w:rPr>
                <w:rFonts w:ascii="Arial Narrow" w:hAnsi="Arial Narrow"/>
                <w:b/>
                <w:sz w:val="22"/>
              </w:rPr>
              <w:t>.3</w:t>
            </w:r>
            <w:r w:rsidRPr="008C1686">
              <w:rPr>
                <w:rFonts w:ascii="Arial Narrow" w:hAnsi="Arial Narrow"/>
                <w:b/>
                <w:sz w:val="22"/>
              </w:rPr>
              <w:t xml:space="preserve"> Warum ist diese Methode aus Ihrer Sicht derzeit im G-DRG-System nicht sachgerecht abgebildet?</w:t>
            </w:r>
          </w:p>
        </w:tc>
      </w:tr>
      <w:tr w:rsidR="008E6675" w:rsidRPr="005638EB" w14:paraId="2396E567" w14:textId="77777777">
        <w:tc>
          <w:tcPr>
            <w:tcW w:w="9212" w:type="dxa"/>
          </w:tcPr>
          <w:p w14:paraId="26B908E4" w14:textId="3D88EF0D" w:rsidR="008E1C7A" w:rsidRPr="005638EB" w:rsidRDefault="00595791" w:rsidP="00543ED4">
            <w:pPr>
              <w:rPr>
                <w:rFonts w:ascii="Arial Narrow" w:hAnsi="Arial Narrow"/>
                <w:b/>
              </w:rPr>
            </w:pPr>
            <w:r w:rsidRPr="00595791">
              <w:rPr>
                <w:rFonts w:ascii="Arial Narrow" w:hAnsi="Arial Narrow"/>
                <w:sz w:val="22"/>
              </w:rPr>
              <w:t>Blinatumomab wurde 11/2015 zugelassen. Bei den Codes innerhalb von R63 liegen die Medikamentenkosten weit unterhalb der Kosten für Blinatumomab allein. Aufgrund der hohen Kosten des Medikaments kommt es daher zu einer Schieflage in der betroffenen</w:t>
            </w:r>
            <w:r w:rsidR="0079493D">
              <w:rPr>
                <w:rFonts w:ascii="Arial Narrow" w:hAnsi="Arial Narrow"/>
                <w:sz w:val="22"/>
              </w:rPr>
              <w:t xml:space="preserve"> DRG.</w:t>
            </w:r>
          </w:p>
        </w:tc>
      </w:tr>
    </w:tbl>
    <w:p w14:paraId="6EEB5A56" w14:textId="77777777" w:rsidR="008E6675" w:rsidRPr="005638EB" w:rsidRDefault="008E6675" w:rsidP="005638EB">
      <w:pPr>
        <w:rPr>
          <w:rFonts w:ascii="Arial Narrow" w:hAnsi="Arial Narrow"/>
        </w:rPr>
      </w:pPr>
    </w:p>
    <w:p w14:paraId="7E5D4963" w14:textId="2DA02D32" w:rsidR="008E6675" w:rsidRPr="005638EB" w:rsidRDefault="00D31B82" w:rsidP="003B2E05">
      <w:pPr>
        <w:tabs>
          <w:tab w:val="left" w:pos="1960"/>
        </w:tabs>
        <w:rPr>
          <w:rFonts w:ascii="Arial Narrow" w:hAnsi="Arial Narrow"/>
        </w:rPr>
      </w:pPr>
      <w:r>
        <w:rPr>
          <w:noProof/>
        </w:rPr>
        <mc:AlternateContent>
          <mc:Choice Requires="wps">
            <w:drawing>
              <wp:anchor distT="0" distB="0" distL="114300" distR="114300" simplePos="0" relativeHeight="251659264" behindDoc="0" locked="0" layoutInCell="1" allowOverlap="1" wp14:anchorId="68E5D193" wp14:editId="53A5F20E">
                <wp:simplePos x="0" y="0"/>
                <wp:positionH relativeFrom="column">
                  <wp:posOffset>0</wp:posOffset>
                </wp:positionH>
                <wp:positionV relativeFrom="paragraph">
                  <wp:posOffset>0</wp:posOffset>
                </wp:positionV>
                <wp:extent cx="1828800" cy="1828800"/>
                <wp:effectExtent l="0" t="0" r="0" b="0"/>
                <wp:wrapNone/>
                <wp:docPr id="1" name="Textfeld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B25C3EF" w14:textId="77777777" w:rsidR="00595791" w:rsidRPr="00655CB7" w:rsidRDefault="00595791" w:rsidP="00CF6714">
                            <w:pPr>
                              <w:rPr>
                                <w:rFonts w:ascii="Arial Narrow" w:hAnsi="Arial Narrow"/>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8E5D193" id="_x0000_t202" coordsize="21600,21600" o:spt="202" path="m,l,21600r21600,l21600,xe">
                <v:stroke joinstyle="miter"/>
                <v:path gradientshapeok="t" o:connecttype="rect"/>
              </v:shapetype>
              <v:shape id="Textfeld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" filled="f" stroked="f">
                <v:textbox style="mso-fit-shape-to-text:t">
                  <w:txbxContent>
                    <w:p w14:paraId="5B25C3EF" w14:textId="77777777" w:rsidR="00595791" w:rsidRPr="00655CB7" w:rsidRDefault="00595791" w:rsidP="00CF6714">
                      <w:pPr>
                        <w:rPr>
                          <w:rFonts w:ascii="Arial Narrow" w:hAnsi="Arial Narrow"/>
                        </w:rPr>
                      </w:pPr>
                    </w:p>
                  </w:txbxContent>
                </v:textbox>
              </v:shape>
            </w:pict>
          </mc:Fallback>
        </mc:AlternateConten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703A71" w:rsidRPr="005638EB" w14:paraId="39FAF7FD" w14:textId="77777777" w:rsidTr="00DB3091">
        <w:tc>
          <w:tcPr>
            <w:tcW w:w="9212" w:type="dxa"/>
          </w:tcPr>
          <w:p w14:paraId="45FA9A37" w14:textId="77777777" w:rsidR="00703A71" w:rsidRPr="005638EB" w:rsidRDefault="00703A71" w:rsidP="00DB3091">
            <w:pPr>
              <w:rPr>
                <w:rFonts w:ascii="Arial Narrow" w:hAnsi="Arial Narrow"/>
              </w:rPr>
            </w:pPr>
            <w:r>
              <w:rPr>
                <w:rFonts w:ascii="Arial Narrow" w:hAnsi="Arial Narrow"/>
                <w:b/>
                <w:sz w:val="22"/>
              </w:rPr>
              <w:t>4.4</w:t>
            </w:r>
            <w:r w:rsidRPr="008C1686">
              <w:rPr>
                <w:rFonts w:ascii="Arial Narrow" w:hAnsi="Arial Narrow"/>
                <w:b/>
                <w:sz w:val="22"/>
              </w:rPr>
              <w:t xml:space="preserve"> </w:t>
            </w:r>
            <w:r>
              <w:rPr>
                <w:rFonts w:ascii="Arial Narrow" w:hAnsi="Arial Narrow"/>
                <w:b/>
                <w:sz w:val="22"/>
              </w:rPr>
              <w:t>Wurde für diese Methode bereits eine Anfrage gemäß §6 Abs. 2 KHEntgG beim InEK gestellt</w:t>
            </w:r>
            <w:r w:rsidRPr="008C1686">
              <w:rPr>
                <w:rFonts w:ascii="Arial Narrow" w:hAnsi="Arial Narrow"/>
                <w:b/>
                <w:sz w:val="22"/>
              </w:rPr>
              <w:t>?</w:t>
            </w:r>
          </w:p>
        </w:tc>
      </w:tr>
      <w:tr w:rsidR="00703A71" w:rsidRPr="005638EB" w14:paraId="20F57732" w14:textId="77777777" w:rsidTr="00DB3091">
        <w:tc>
          <w:tcPr>
            <w:tcW w:w="9212" w:type="dxa"/>
          </w:tcPr>
          <w:p w14:paraId="6C086DBD" w14:textId="77777777" w:rsidR="00703A71" w:rsidRPr="00DE0987" w:rsidRDefault="00703A71" w:rsidP="00DB3091">
            <w:pPr>
              <w:autoSpaceDE w:val="0"/>
              <w:autoSpaceDN w:val="0"/>
              <w:adjustRightInd w:val="0"/>
              <w:jc w:val="both"/>
              <w:rPr>
                <w:rFonts w:ascii="Arial Narrow" w:hAnsi="Arial Narrow" w:cs="Arial"/>
                <w:sz w:val="22"/>
              </w:rPr>
            </w:pPr>
            <w:r w:rsidRPr="00DE0987">
              <w:rPr>
                <w:rFonts w:ascii="Arial Narrow" w:hAnsi="Arial Narrow"/>
                <w:sz w:val="22"/>
              </w:rPr>
              <w:t>Wenn Sie für die angefragte Methode bereits in den vergangenen Jahren eine Anfrage gemäß §6 Abs. 2 KHEntgG gestellt haben, kreuzen Sie bitte „Von Ihrem Krankenhaus“ an. Wenn Ihnen bekannt ist, dass ein anderes Krankenhaus für die von Ihnen aktuell angefragte Methode bereits eine Anfrage gemäß §6 Abs. 2 KHEntgG gestellt hat, kreuzen Sie bitte „Von einem anderen Krankenhaus“ an. Ansonsten kreuzen Sie bitte nichts an.</w:t>
            </w:r>
          </w:p>
          <w:p w14:paraId="1A66DAC8" w14:textId="77777777" w:rsidR="00703A71" w:rsidRPr="00DE0987" w:rsidRDefault="00703A71" w:rsidP="00DB3091">
            <w:pPr>
              <w:tabs>
                <w:tab w:val="left" w:pos="720"/>
                <w:tab w:val="left" w:pos="1440"/>
              </w:tabs>
              <w:autoSpaceDE w:val="0"/>
              <w:autoSpaceDN w:val="0"/>
              <w:adjustRightInd w:val="0"/>
              <w:jc w:val="both"/>
              <w:rPr>
                <w:rFonts w:ascii="Arial Narrow" w:hAnsi="Arial Narrow"/>
                <w:sz w:val="22"/>
              </w:rPr>
            </w:pPr>
            <w:r w:rsidRPr="00DE0987">
              <w:rPr>
                <w:rFonts w:ascii="Arial Narrow" w:hAnsi="Arial Narrow"/>
                <w:sz w:val="22"/>
              </w:rPr>
              <w:tab/>
              <w:t xml:space="preserve">Von Ihrem Krankenhaus </w:t>
            </w:r>
            <w:r w:rsidRPr="00DE0987">
              <w:rPr>
                <w:rFonts w:ascii="Arial Narrow" w:hAnsi="Arial Narrow"/>
                <w:sz w:val="22"/>
                <w:highlight w:val="yellow"/>
              </w:rPr>
              <w:t>XX</w:t>
            </w:r>
          </w:p>
          <w:p w14:paraId="76E3EC84" w14:textId="77777777" w:rsidR="00703A71" w:rsidRPr="005638EB" w:rsidRDefault="00703A71" w:rsidP="00DB3091">
            <w:pPr>
              <w:jc w:val="both"/>
              <w:rPr>
                <w:rFonts w:ascii="Arial Narrow" w:hAnsi="Arial Narrow"/>
              </w:rPr>
            </w:pPr>
            <w:r w:rsidRPr="00DE0987">
              <w:rPr>
                <w:rFonts w:ascii="Arial Narrow" w:hAnsi="Arial Narrow"/>
                <w:sz w:val="22"/>
              </w:rPr>
              <w:tab/>
              <w:t xml:space="preserve">Von einem anderen Krankenhaus (falls Ihnen bekannt) </w:t>
            </w:r>
            <w:r w:rsidRPr="00DE0987">
              <w:rPr>
                <w:rFonts w:ascii="Arial Narrow" w:hAnsi="Arial Narrow"/>
                <w:sz w:val="22"/>
                <w:highlight w:val="yellow"/>
              </w:rPr>
              <w:t>XX</w:t>
            </w:r>
          </w:p>
        </w:tc>
      </w:tr>
    </w:tbl>
    <w:p w14:paraId="5BD545F6" w14:textId="77777777" w:rsidR="008E6675" w:rsidRPr="005638EB" w:rsidRDefault="008E6675" w:rsidP="005638EB">
      <w:pPr>
        <w:rPr>
          <w:rFonts w:ascii="Arial Narrow" w:hAnsi="Arial Narrow"/>
        </w:rPr>
      </w:pPr>
    </w:p>
    <w:p w14:paraId="1FE9D6E5" w14:textId="77777777" w:rsidR="008E6675" w:rsidRPr="005638EB" w:rsidRDefault="008E6675" w:rsidP="005638EB">
      <w:pPr>
        <w:rPr>
          <w:rFonts w:ascii="Arial Narrow" w:hAnsi="Arial Narrow"/>
        </w:rPr>
      </w:pPr>
      <w:r w:rsidRPr="005638EB">
        <w:rPr>
          <w:rFonts w:ascii="Arial Narrow" w:hAnsi="Arial Narrow"/>
        </w:rPr>
        <w:tab/>
      </w:r>
    </w:p>
    <w:sectPr w:rsidR="008E6675" w:rsidRPr="005638EB" w:rsidSect="004E1D02">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CCFB5" w14:textId="77777777" w:rsidR="00834A60" w:rsidRDefault="00834A60">
      <w:r>
        <w:separator/>
      </w:r>
    </w:p>
  </w:endnote>
  <w:endnote w:type="continuationSeparator" w:id="0">
    <w:p w14:paraId="3BE5CDDA" w14:textId="77777777" w:rsidR="00834A60" w:rsidRDefault="00834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heSansOffice">
    <w:altName w:val="Arial"/>
    <w:panose1 w:val="00000000000000000000"/>
    <w:charset w:val="00"/>
    <w:family w:val="swiss"/>
    <w:notTrueType/>
    <w:pitch w:val="variable"/>
    <w:sig w:usb0="00000001" w:usb1="50002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LMU CompatilFact">
    <w:altName w:val="Bell MT"/>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75558" w14:textId="77777777" w:rsidR="009B3BB5" w:rsidRPr="009B3BB5" w:rsidRDefault="00D0759B" w:rsidP="00D0759B">
    <w:pPr>
      <w:pStyle w:val="Fuzeile"/>
      <w:rPr>
        <w:rFonts w:ascii="Arial Narrow" w:hAnsi="Arial Narrow"/>
        <w:sz w:val="20"/>
        <w:szCs w:val="20"/>
      </w:rPr>
    </w:pPr>
    <w:r w:rsidRPr="009B3BB5">
      <w:rPr>
        <w:rFonts w:ascii="Arial Narrow" w:hAnsi="Arial Narrow"/>
        <w:sz w:val="20"/>
        <w:szCs w:val="20"/>
      </w:rPr>
      <w:t>Arbeitsgruppe DRG der Gesellschaft für Pädiatrische</w:t>
    </w:r>
    <w:r w:rsidR="009B3BB5" w:rsidRPr="009B3BB5">
      <w:rPr>
        <w:rFonts w:ascii="Arial Narrow" w:hAnsi="Arial Narrow"/>
        <w:sz w:val="20"/>
        <w:szCs w:val="20"/>
      </w:rPr>
      <w:t xml:space="preserve"> Onkologie und Hämatologie e.V.</w:t>
    </w:r>
  </w:p>
  <w:p w14:paraId="7F74C074" w14:textId="1B41E57A" w:rsidR="00D0759B" w:rsidRPr="009B3BB5" w:rsidRDefault="001918DD" w:rsidP="00D0759B">
    <w:pPr>
      <w:pStyle w:val="Fuzeile"/>
      <w:rPr>
        <w:rFonts w:ascii="Arial Narrow" w:hAnsi="Arial Narrow"/>
        <w:sz w:val="20"/>
        <w:szCs w:val="20"/>
      </w:rPr>
    </w:pPr>
    <w:hyperlink r:id="rId1" w:history="1">
      <w:r w:rsidR="00D0759B" w:rsidRPr="009B3BB5">
        <w:rPr>
          <w:rStyle w:val="Hyperlink"/>
          <w:rFonts w:ascii="Arial Narrow" w:hAnsi="Arial Narrow"/>
          <w:sz w:val="20"/>
          <w:szCs w:val="20"/>
        </w:rPr>
        <w:t>www.</w:t>
      </w:r>
      <w:r w:rsidR="005137B9" w:rsidRPr="009B3BB5">
        <w:rPr>
          <w:rStyle w:val="Hyperlink"/>
          <w:rFonts w:ascii="Arial Narrow" w:hAnsi="Arial Narrow"/>
          <w:sz w:val="20"/>
          <w:szCs w:val="20"/>
        </w:rPr>
        <w:t>gpoh</w:t>
      </w:r>
      <w:r w:rsidR="00D0759B" w:rsidRPr="009B3BB5">
        <w:rPr>
          <w:rStyle w:val="Hyperlink"/>
          <w:rFonts w:ascii="Arial Narrow" w:hAnsi="Arial Narrow"/>
          <w:sz w:val="20"/>
          <w:szCs w:val="20"/>
        </w:rPr>
        <w:t>.de</w:t>
      </w:r>
    </w:hyperlink>
  </w:p>
  <w:p w14:paraId="3D081C46" w14:textId="2EB97AE2" w:rsidR="00D0759B" w:rsidRPr="009B3BB5" w:rsidRDefault="00D0759B" w:rsidP="00D0759B">
    <w:pPr>
      <w:pStyle w:val="Fuzeile"/>
      <w:rPr>
        <w:rFonts w:ascii="Arial Narrow" w:hAnsi="Arial Narrow"/>
        <w:sz w:val="20"/>
        <w:szCs w:val="20"/>
      </w:rPr>
    </w:pPr>
    <w:r w:rsidRPr="009B3BB5">
      <w:rPr>
        <w:rFonts w:ascii="Arial Narrow" w:hAnsi="Arial Narrow"/>
        <w:noProof/>
        <w:sz w:val="20"/>
        <w:szCs w:val="20"/>
      </w:rPr>
      <w:drawing>
        <wp:anchor distT="0" distB="0" distL="114300" distR="114300" simplePos="0" relativeHeight="251659264" behindDoc="0" locked="0" layoutInCell="1" allowOverlap="1" wp14:anchorId="792EA199" wp14:editId="57E59BA7">
          <wp:simplePos x="0" y="0"/>
          <wp:positionH relativeFrom="column">
            <wp:posOffset>5274310</wp:posOffset>
          </wp:positionH>
          <wp:positionV relativeFrom="paragraph">
            <wp:posOffset>37465</wp:posOffset>
          </wp:positionV>
          <wp:extent cx="927100" cy="314325"/>
          <wp:effectExtent l="0" t="0" r="6350"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7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3BB5">
      <w:rPr>
        <w:rFonts w:ascii="Arial Narrow" w:hAnsi="Arial Narrow"/>
        <w:snapToGrid w:val="0"/>
        <w:sz w:val="20"/>
        <w:szCs w:val="20"/>
      </w:rPr>
      <w:t xml:space="preserve">Seite </w:t>
    </w:r>
    <w:r w:rsidRPr="009B3BB5">
      <w:rPr>
        <w:rFonts w:ascii="Arial Narrow" w:hAnsi="Arial Narrow"/>
        <w:snapToGrid w:val="0"/>
        <w:sz w:val="20"/>
        <w:szCs w:val="20"/>
      </w:rPr>
      <w:fldChar w:fldCharType="begin"/>
    </w:r>
    <w:r w:rsidRPr="009B3BB5">
      <w:rPr>
        <w:rFonts w:ascii="Arial Narrow" w:hAnsi="Arial Narrow"/>
        <w:snapToGrid w:val="0"/>
        <w:sz w:val="20"/>
        <w:szCs w:val="20"/>
      </w:rPr>
      <w:instrText xml:space="preserve"> PAGE </w:instrText>
    </w:r>
    <w:r w:rsidRPr="009B3BB5">
      <w:rPr>
        <w:rFonts w:ascii="Arial Narrow" w:hAnsi="Arial Narrow"/>
        <w:snapToGrid w:val="0"/>
        <w:sz w:val="20"/>
        <w:szCs w:val="20"/>
      </w:rPr>
      <w:fldChar w:fldCharType="separate"/>
    </w:r>
    <w:r w:rsidR="001918DD">
      <w:rPr>
        <w:rFonts w:ascii="Arial Narrow" w:hAnsi="Arial Narrow"/>
        <w:noProof/>
        <w:snapToGrid w:val="0"/>
        <w:sz w:val="20"/>
        <w:szCs w:val="20"/>
      </w:rPr>
      <w:t>1</w:t>
    </w:r>
    <w:r w:rsidRPr="009B3BB5">
      <w:rPr>
        <w:rFonts w:ascii="Arial Narrow" w:hAnsi="Arial Narrow"/>
        <w:snapToGrid w:val="0"/>
        <w:sz w:val="20"/>
        <w:szCs w:val="20"/>
      </w:rPr>
      <w:fldChar w:fldCharType="end"/>
    </w:r>
    <w:r w:rsidRPr="009B3BB5">
      <w:rPr>
        <w:rFonts w:ascii="Arial Narrow" w:hAnsi="Arial Narrow"/>
        <w:snapToGrid w:val="0"/>
        <w:sz w:val="20"/>
        <w:szCs w:val="20"/>
      </w:rPr>
      <w:t xml:space="preserve"> von </w:t>
    </w:r>
    <w:r w:rsidRPr="009B3BB5">
      <w:rPr>
        <w:rFonts w:ascii="Arial Narrow" w:hAnsi="Arial Narrow"/>
        <w:snapToGrid w:val="0"/>
        <w:sz w:val="20"/>
        <w:szCs w:val="20"/>
      </w:rPr>
      <w:fldChar w:fldCharType="begin"/>
    </w:r>
    <w:r w:rsidRPr="009B3BB5">
      <w:rPr>
        <w:rFonts w:ascii="Arial Narrow" w:hAnsi="Arial Narrow"/>
        <w:snapToGrid w:val="0"/>
        <w:sz w:val="20"/>
        <w:szCs w:val="20"/>
      </w:rPr>
      <w:instrText xml:space="preserve"> NUMPAGES </w:instrText>
    </w:r>
    <w:r w:rsidRPr="009B3BB5">
      <w:rPr>
        <w:rFonts w:ascii="Arial Narrow" w:hAnsi="Arial Narrow"/>
        <w:snapToGrid w:val="0"/>
        <w:sz w:val="20"/>
        <w:szCs w:val="20"/>
      </w:rPr>
      <w:fldChar w:fldCharType="separate"/>
    </w:r>
    <w:r w:rsidR="001918DD">
      <w:rPr>
        <w:rFonts w:ascii="Arial Narrow" w:hAnsi="Arial Narrow"/>
        <w:noProof/>
        <w:snapToGrid w:val="0"/>
        <w:sz w:val="20"/>
        <w:szCs w:val="20"/>
      </w:rPr>
      <w:t>3</w:t>
    </w:r>
    <w:r w:rsidRPr="009B3BB5">
      <w:rPr>
        <w:rFonts w:ascii="Arial Narrow" w:hAnsi="Arial Narrow"/>
        <w:snapToGrid w:val="0"/>
        <w:sz w:val="20"/>
        <w:szCs w:val="20"/>
      </w:rPr>
      <w:fldChar w:fldCharType="end"/>
    </w:r>
  </w:p>
  <w:p w14:paraId="371EEC64" w14:textId="036ECDFC" w:rsidR="009B3BB5" w:rsidRPr="009B3BB5" w:rsidRDefault="009B3BB5" w:rsidP="009B3BB5">
    <w:r w:rsidRPr="009B3BB5">
      <w:rPr>
        <w:rFonts w:ascii="Arial Narrow" w:hAnsi="Arial Narrow"/>
        <w:sz w:val="20"/>
        <w:szCs w:val="20"/>
      </w:rPr>
      <w:t>Antrag – Blinatumomab FINAL 10.10.2017</w:t>
    </w:r>
  </w:p>
  <w:p w14:paraId="71928F99" w14:textId="77777777" w:rsidR="00595791" w:rsidRDefault="005957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80459" w14:textId="77777777" w:rsidR="00834A60" w:rsidRDefault="00834A60">
      <w:r>
        <w:separator/>
      </w:r>
    </w:p>
  </w:footnote>
  <w:footnote w:type="continuationSeparator" w:id="0">
    <w:p w14:paraId="7B4B1141" w14:textId="77777777" w:rsidR="00834A60" w:rsidRDefault="00834A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0758B" w14:textId="1F70BB36" w:rsidR="00595791" w:rsidRDefault="00595791" w:rsidP="00596F9A">
    <w:pPr>
      <w:pStyle w:val="Titel"/>
    </w:pPr>
    <w:r>
      <w:t xml:space="preserve">NUB Antrag </w:t>
    </w:r>
    <w:r w:rsidR="00D63F45">
      <w:t>201</w:t>
    </w:r>
    <w:r w:rsidR="00703A71">
      <w:t>7</w:t>
    </w:r>
    <w:r>
      <w:t>/</w:t>
    </w:r>
    <w:r w:rsidR="00703A71">
      <w:t>2018</w:t>
    </w:r>
    <w:r w:rsidR="00753CCB">
      <w:rPr>
        <w:rFonts w:ascii="LMU CompatilFact" w:hAnsi="LMU CompatilFact"/>
        <w:noProof/>
      </w:rPr>
      <w:drawing>
        <wp:inline distT="0" distB="0" distL="0" distR="0" wp14:anchorId="67641617" wp14:editId="47F15ECC">
          <wp:extent cx="1647825" cy="666750"/>
          <wp:effectExtent l="0" t="0" r="952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666750"/>
                  </a:xfrm>
                  <a:prstGeom prst="rect">
                    <a:avLst/>
                  </a:prstGeom>
                  <a:noFill/>
                  <a:ln>
                    <a:noFill/>
                  </a:ln>
                </pic:spPr>
              </pic:pic>
            </a:graphicData>
          </a:graphic>
        </wp:inline>
      </w:drawing>
    </w:r>
    <w:r>
      <w:t xml:space="preserve"> </w:t>
    </w:r>
  </w:p>
  <w:p w14:paraId="155A0A2C" w14:textId="1DB6C273" w:rsidR="00595791" w:rsidRPr="00596F9A" w:rsidRDefault="00D0759B" w:rsidP="00596F9A">
    <w:pPr>
      <w:pStyle w:val="Titel"/>
    </w:pPr>
    <w:r>
      <w:t>Blinatumomab</w:t>
    </w:r>
  </w:p>
  <w:p w14:paraId="3A45080F" w14:textId="77777777" w:rsidR="00595791" w:rsidRDefault="0059579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B2B83"/>
    <w:multiLevelType w:val="multilevel"/>
    <w:tmpl w:val="1D4663A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E5C1CCB"/>
    <w:multiLevelType w:val="multilevel"/>
    <w:tmpl w:val="7D024176"/>
    <w:lvl w:ilvl="0">
      <w:start w:val="1"/>
      <w:numFmt w:val="decimal"/>
      <w:lvlText w:val="%1"/>
      <w:lvlJc w:val="left"/>
      <w:pPr>
        <w:tabs>
          <w:tab w:val="num" w:pos="360"/>
        </w:tabs>
        <w:ind w:left="360" w:hanging="360"/>
      </w:pPr>
      <w:rPr>
        <w:rFonts w:cs="Times New Roman" w:hint="default"/>
        <w:b w:val="0"/>
      </w:rPr>
    </w:lvl>
    <w:lvl w:ilvl="1">
      <w:start w:val="4"/>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 w15:restartNumberingAfterBreak="0">
    <w:nsid w:val="0F8C1304"/>
    <w:multiLevelType w:val="hybridMultilevel"/>
    <w:tmpl w:val="49187E7A"/>
    <w:lvl w:ilvl="0" w:tplc="F4DC3A5A">
      <w:start w:val="1"/>
      <w:numFmt w:val="bullet"/>
      <w:lvlText w:val=""/>
      <w:lvlJc w:val="left"/>
      <w:pPr>
        <w:tabs>
          <w:tab w:val="num" w:pos="720"/>
        </w:tabs>
        <w:ind w:left="720" w:hanging="360"/>
      </w:pPr>
      <w:rPr>
        <w:rFonts w:ascii="Symbol" w:hAnsi="Symbol" w:hint="default"/>
        <w:sz w:val="20"/>
      </w:rPr>
    </w:lvl>
    <w:lvl w:ilvl="1" w:tplc="22CA003C" w:tentative="1">
      <w:start w:val="1"/>
      <w:numFmt w:val="bullet"/>
      <w:lvlText w:val="o"/>
      <w:lvlJc w:val="left"/>
      <w:pPr>
        <w:tabs>
          <w:tab w:val="num" w:pos="1440"/>
        </w:tabs>
        <w:ind w:left="1440" w:hanging="360"/>
      </w:pPr>
      <w:rPr>
        <w:rFonts w:ascii="Courier New" w:hAnsi="Courier New" w:hint="default"/>
        <w:sz w:val="20"/>
      </w:rPr>
    </w:lvl>
    <w:lvl w:ilvl="2" w:tplc="69B6E4CA" w:tentative="1">
      <w:start w:val="1"/>
      <w:numFmt w:val="bullet"/>
      <w:lvlText w:val=""/>
      <w:lvlJc w:val="left"/>
      <w:pPr>
        <w:tabs>
          <w:tab w:val="num" w:pos="2160"/>
        </w:tabs>
        <w:ind w:left="2160" w:hanging="360"/>
      </w:pPr>
      <w:rPr>
        <w:rFonts w:ascii="Wingdings" w:hAnsi="Wingdings" w:hint="default"/>
        <w:sz w:val="20"/>
      </w:rPr>
    </w:lvl>
    <w:lvl w:ilvl="3" w:tplc="D0E6B0AC" w:tentative="1">
      <w:start w:val="1"/>
      <w:numFmt w:val="bullet"/>
      <w:lvlText w:val=""/>
      <w:lvlJc w:val="left"/>
      <w:pPr>
        <w:tabs>
          <w:tab w:val="num" w:pos="2880"/>
        </w:tabs>
        <w:ind w:left="2880" w:hanging="360"/>
      </w:pPr>
      <w:rPr>
        <w:rFonts w:ascii="Wingdings" w:hAnsi="Wingdings" w:hint="default"/>
        <w:sz w:val="20"/>
      </w:rPr>
    </w:lvl>
    <w:lvl w:ilvl="4" w:tplc="32A8AE62" w:tentative="1">
      <w:start w:val="1"/>
      <w:numFmt w:val="bullet"/>
      <w:lvlText w:val=""/>
      <w:lvlJc w:val="left"/>
      <w:pPr>
        <w:tabs>
          <w:tab w:val="num" w:pos="3600"/>
        </w:tabs>
        <w:ind w:left="3600" w:hanging="360"/>
      </w:pPr>
      <w:rPr>
        <w:rFonts w:ascii="Wingdings" w:hAnsi="Wingdings" w:hint="default"/>
        <w:sz w:val="20"/>
      </w:rPr>
    </w:lvl>
    <w:lvl w:ilvl="5" w:tplc="91AC12EA" w:tentative="1">
      <w:start w:val="1"/>
      <w:numFmt w:val="bullet"/>
      <w:lvlText w:val=""/>
      <w:lvlJc w:val="left"/>
      <w:pPr>
        <w:tabs>
          <w:tab w:val="num" w:pos="4320"/>
        </w:tabs>
        <w:ind w:left="4320" w:hanging="360"/>
      </w:pPr>
      <w:rPr>
        <w:rFonts w:ascii="Wingdings" w:hAnsi="Wingdings" w:hint="default"/>
        <w:sz w:val="20"/>
      </w:rPr>
    </w:lvl>
    <w:lvl w:ilvl="6" w:tplc="FE4C643A" w:tentative="1">
      <w:start w:val="1"/>
      <w:numFmt w:val="bullet"/>
      <w:lvlText w:val=""/>
      <w:lvlJc w:val="left"/>
      <w:pPr>
        <w:tabs>
          <w:tab w:val="num" w:pos="5040"/>
        </w:tabs>
        <w:ind w:left="5040" w:hanging="360"/>
      </w:pPr>
      <w:rPr>
        <w:rFonts w:ascii="Wingdings" w:hAnsi="Wingdings" w:hint="default"/>
        <w:sz w:val="20"/>
      </w:rPr>
    </w:lvl>
    <w:lvl w:ilvl="7" w:tplc="8F8C7AD6" w:tentative="1">
      <w:start w:val="1"/>
      <w:numFmt w:val="bullet"/>
      <w:lvlText w:val=""/>
      <w:lvlJc w:val="left"/>
      <w:pPr>
        <w:tabs>
          <w:tab w:val="num" w:pos="5760"/>
        </w:tabs>
        <w:ind w:left="5760" w:hanging="360"/>
      </w:pPr>
      <w:rPr>
        <w:rFonts w:ascii="Wingdings" w:hAnsi="Wingdings" w:hint="default"/>
        <w:sz w:val="20"/>
      </w:rPr>
    </w:lvl>
    <w:lvl w:ilvl="8" w:tplc="F2C29F7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81313"/>
    <w:multiLevelType w:val="hybridMultilevel"/>
    <w:tmpl w:val="7F4E33F6"/>
    <w:lvl w:ilvl="0" w:tplc="9AEE24C8">
      <w:start w:val="1"/>
      <w:numFmt w:val="decimal"/>
      <w:lvlText w:val="(%1)"/>
      <w:lvlJc w:val="left"/>
      <w:pPr>
        <w:tabs>
          <w:tab w:val="num" w:pos="1080"/>
        </w:tabs>
        <w:ind w:left="1080" w:hanging="720"/>
      </w:pPr>
      <w:rPr>
        <w:rFonts w:ascii="Arial" w:hAnsi="Arial" w:cs="Arial" w:hint="default"/>
        <w:sz w:val="22"/>
      </w:rPr>
    </w:lvl>
    <w:lvl w:ilvl="1" w:tplc="81F03F5E" w:tentative="1">
      <w:start w:val="1"/>
      <w:numFmt w:val="lowerLetter"/>
      <w:lvlText w:val="%2."/>
      <w:lvlJc w:val="left"/>
      <w:pPr>
        <w:tabs>
          <w:tab w:val="num" w:pos="1440"/>
        </w:tabs>
        <w:ind w:left="1440" w:hanging="360"/>
      </w:pPr>
      <w:rPr>
        <w:rFonts w:cs="Times New Roman"/>
      </w:rPr>
    </w:lvl>
    <w:lvl w:ilvl="2" w:tplc="45DC5758" w:tentative="1">
      <w:start w:val="1"/>
      <w:numFmt w:val="lowerRoman"/>
      <w:lvlText w:val="%3."/>
      <w:lvlJc w:val="right"/>
      <w:pPr>
        <w:tabs>
          <w:tab w:val="num" w:pos="2160"/>
        </w:tabs>
        <w:ind w:left="2160" w:hanging="180"/>
      </w:pPr>
      <w:rPr>
        <w:rFonts w:cs="Times New Roman"/>
      </w:rPr>
    </w:lvl>
    <w:lvl w:ilvl="3" w:tplc="3D508AE6" w:tentative="1">
      <w:start w:val="1"/>
      <w:numFmt w:val="decimal"/>
      <w:lvlText w:val="%4."/>
      <w:lvlJc w:val="left"/>
      <w:pPr>
        <w:tabs>
          <w:tab w:val="num" w:pos="2880"/>
        </w:tabs>
        <w:ind w:left="2880" w:hanging="360"/>
      </w:pPr>
      <w:rPr>
        <w:rFonts w:cs="Times New Roman"/>
      </w:rPr>
    </w:lvl>
    <w:lvl w:ilvl="4" w:tplc="1598B24E" w:tentative="1">
      <w:start w:val="1"/>
      <w:numFmt w:val="lowerLetter"/>
      <w:lvlText w:val="%5."/>
      <w:lvlJc w:val="left"/>
      <w:pPr>
        <w:tabs>
          <w:tab w:val="num" w:pos="3600"/>
        </w:tabs>
        <w:ind w:left="3600" w:hanging="360"/>
      </w:pPr>
      <w:rPr>
        <w:rFonts w:cs="Times New Roman"/>
      </w:rPr>
    </w:lvl>
    <w:lvl w:ilvl="5" w:tplc="F468C790" w:tentative="1">
      <w:start w:val="1"/>
      <w:numFmt w:val="lowerRoman"/>
      <w:lvlText w:val="%6."/>
      <w:lvlJc w:val="right"/>
      <w:pPr>
        <w:tabs>
          <w:tab w:val="num" w:pos="4320"/>
        </w:tabs>
        <w:ind w:left="4320" w:hanging="180"/>
      </w:pPr>
      <w:rPr>
        <w:rFonts w:cs="Times New Roman"/>
      </w:rPr>
    </w:lvl>
    <w:lvl w:ilvl="6" w:tplc="531E2918" w:tentative="1">
      <w:start w:val="1"/>
      <w:numFmt w:val="decimal"/>
      <w:lvlText w:val="%7."/>
      <w:lvlJc w:val="left"/>
      <w:pPr>
        <w:tabs>
          <w:tab w:val="num" w:pos="5040"/>
        </w:tabs>
        <w:ind w:left="5040" w:hanging="360"/>
      </w:pPr>
      <w:rPr>
        <w:rFonts w:cs="Times New Roman"/>
      </w:rPr>
    </w:lvl>
    <w:lvl w:ilvl="7" w:tplc="D7AEEF1C" w:tentative="1">
      <w:start w:val="1"/>
      <w:numFmt w:val="lowerLetter"/>
      <w:lvlText w:val="%8."/>
      <w:lvlJc w:val="left"/>
      <w:pPr>
        <w:tabs>
          <w:tab w:val="num" w:pos="5760"/>
        </w:tabs>
        <w:ind w:left="5760" w:hanging="360"/>
      </w:pPr>
      <w:rPr>
        <w:rFonts w:cs="Times New Roman"/>
      </w:rPr>
    </w:lvl>
    <w:lvl w:ilvl="8" w:tplc="A85C5452" w:tentative="1">
      <w:start w:val="1"/>
      <w:numFmt w:val="lowerRoman"/>
      <w:lvlText w:val="%9."/>
      <w:lvlJc w:val="right"/>
      <w:pPr>
        <w:tabs>
          <w:tab w:val="num" w:pos="6480"/>
        </w:tabs>
        <w:ind w:left="6480" w:hanging="180"/>
      </w:pPr>
      <w:rPr>
        <w:rFonts w:cs="Times New Roman"/>
      </w:rPr>
    </w:lvl>
  </w:abstractNum>
  <w:abstractNum w:abstractNumId="4" w15:restartNumberingAfterBreak="0">
    <w:nsid w:val="25DC15EE"/>
    <w:multiLevelType w:val="multilevel"/>
    <w:tmpl w:val="E7206966"/>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96300F9"/>
    <w:multiLevelType w:val="hybridMultilevel"/>
    <w:tmpl w:val="D0F4BD28"/>
    <w:lvl w:ilvl="0" w:tplc="47D65AF8">
      <w:start w:val="1"/>
      <w:numFmt w:val="decimal"/>
      <w:lvlText w:val="(%1)"/>
      <w:lvlJc w:val="left"/>
      <w:pPr>
        <w:tabs>
          <w:tab w:val="num" w:pos="1440"/>
        </w:tabs>
        <w:ind w:left="1440" w:hanging="720"/>
      </w:pPr>
      <w:rPr>
        <w:rFonts w:ascii="Arial" w:hAnsi="Arial" w:cs="Arial" w:hint="default"/>
        <w:sz w:val="22"/>
      </w:rPr>
    </w:lvl>
    <w:lvl w:ilvl="1" w:tplc="3AC05F4E" w:tentative="1">
      <w:start w:val="1"/>
      <w:numFmt w:val="lowerLetter"/>
      <w:lvlText w:val="%2."/>
      <w:lvlJc w:val="left"/>
      <w:pPr>
        <w:tabs>
          <w:tab w:val="num" w:pos="1800"/>
        </w:tabs>
        <w:ind w:left="1800" w:hanging="360"/>
      </w:pPr>
      <w:rPr>
        <w:rFonts w:cs="Times New Roman"/>
      </w:rPr>
    </w:lvl>
    <w:lvl w:ilvl="2" w:tplc="90DA7DEE" w:tentative="1">
      <w:start w:val="1"/>
      <w:numFmt w:val="lowerRoman"/>
      <w:lvlText w:val="%3."/>
      <w:lvlJc w:val="right"/>
      <w:pPr>
        <w:tabs>
          <w:tab w:val="num" w:pos="2520"/>
        </w:tabs>
        <w:ind w:left="2520" w:hanging="180"/>
      </w:pPr>
      <w:rPr>
        <w:rFonts w:cs="Times New Roman"/>
      </w:rPr>
    </w:lvl>
    <w:lvl w:ilvl="3" w:tplc="B27838E4" w:tentative="1">
      <w:start w:val="1"/>
      <w:numFmt w:val="decimal"/>
      <w:lvlText w:val="%4."/>
      <w:lvlJc w:val="left"/>
      <w:pPr>
        <w:tabs>
          <w:tab w:val="num" w:pos="3240"/>
        </w:tabs>
        <w:ind w:left="3240" w:hanging="360"/>
      </w:pPr>
      <w:rPr>
        <w:rFonts w:cs="Times New Roman"/>
      </w:rPr>
    </w:lvl>
    <w:lvl w:ilvl="4" w:tplc="F0A44370" w:tentative="1">
      <w:start w:val="1"/>
      <w:numFmt w:val="lowerLetter"/>
      <w:lvlText w:val="%5."/>
      <w:lvlJc w:val="left"/>
      <w:pPr>
        <w:tabs>
          <w:tab w:val="num" w:pos="3960"/>
        </w:tabs>
        <w:ind w:left="3960" w:hanging="360"/>
      </w:pPr>
      <w:rPr>
        <w:rFonts w:cs="Times New Roman"/>
      </w:rPr>
    </w:lvl>
    <w:lvl w:ilvl="5" w:tplc="7C9ABF02" w:tentative="1">
      <w:start w:val="1"/>
      <w:numFmt w:val="lowerRoman"/>
      <w:lvlText w:val="%6."/>
      <w:lvlJc w:val="right"/>
      <w:pPr>
        <w:tabs>
          <w:tab w:val="num" w:pos="4680"/>
        </w:tabs>
        <w:ind w:left="4680" w:hanging="180"/>
      </w:pPr>
      <w:rPr>
        <w:rFonts w:cs="Times New Roman"/>
      </w:rPr>
    </w:lvl>
    <w:lvl w:ilvl="6" w:tplc="1FE611FC" w:tentative="1">
      <w:start w:val="1"/>
      <w:numFmt w:val="decimal"/>
      <w:lvlText w:val="%7."/>
      <w:lvlJc w:val="left"/>
      <w:pPr>
        <w:tabs>
          <w:tab w:val="num" w:pos="5400"/>
        </w:tabs>
        <w:ind w:left="5400" w:hanging="360"/>
      </w:pPr>
      <w:rPr>
        <w:rFonts w:cs="Times New Roman"/>
      </w:rPr>
    </w:lvl>
    <w:lvl w:ilvl="7" w:tplc="501008C0" w:tentative="1">
      <w:start w:val="1"/>
      <w:numFmt w:val="lowerLetter"/>
      <w:lvlText w:val="%8."/>
      <w:lvlJc w:val="left"/>
      <w:pPr>
        <w:tabs>
          <w:tab w:val="num" w:pos="6120"/>
        </w:tabs>
        <w:ind w:left="6120" w:hanging="360"/>
      </w:pPr>
      <w:rPr>
        <w:rFonts w:cs="Times New Roman"/>
      </w:rPr>
    </w:lvl>
    <w:lvl w:ilvl="8" w:tplc="1F2C4308" w:tentative="1">
      <w:start w:val="1"/>
      <w:numFmt w:val="lowerRoman"/>
      <w:lvlText w:val="%9."/>
      <w:lvlJc w:val="right"/>
      <w:pPr>
        <w:tabs>
          <w:tab w:val="num" w:pos="6840"/>
        </w:tabs>
        <w:ind w:left="6840" w:hanging="180"/>
      </w:pPr>
      <w:rPr>
        <w:rFonts w:cs="Times New Roman"/>
      </w:rPr>
    </w:lvl>
  </w:abstractNum>
  <w:abstractNum w:abstractNumId="6" w15:restartNumberingAfterBreak="0">
    <w:nsid w:val="383E6F25"/>
    <w:multiLevelType w:val="multilevel"/>
    <w:tmpl w:val="6F323276"/>
    <w:lvl w:ilvl="0">
      <w:start w:val="1"/>
      <w:numFmt w:val="decimal"/>
      <w:lvlText w:val="%1."/>
      <w:lvlJc w:val="left"/>
      <w:pPr>
        <w:tabs>
          <w:tab w:val="num" w:pos="360"/>
        </w:tabs>
        <w:ind w:left="360" w:hanging="360"/>
      </w:pPr>
      <w:rPr>
        <w:rFonts w:cs="Times New Roman" w:hint="default"/>
        <w:b w:val="0"/>
      </w:rPr>
    </w:lvl>
    <w:lvl w:ilvl="1">
      <w:start w:val="3"/>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7" w15:restartNumberingAfterBreak="0">
    <w:nsid w:val="61FB1A21"/>
    <w:multiLevelType w:val="hybridMultilevel"/>
    <w:tmpl w:val="8BACE4F6"/>
    <w:lvl w:ilvl="0" w:tplc="92148044">
      <w:start w:val="1"/>
      <w:numFmt w:val="decimal"/>
      <w:lvlText w:val="(%1)"/>
      <w:lvlJc w:val="left"/>
      <w:pPr>
        <w:tabs>
          <w:tab w:val="num" w:pos="1080"/>
        </w:tabs>
        <w:ind w:left="1080" w:hanging="720"/>
      </w:pPr>
      <w:rPr>
        <w:rFonts w:ascii="Arial" w:hAnsi="Arial" w:cs="Arial" w:hint="default"/>
        <w:sz w:val="22"/>
      </w:rPr>
    </w:lvl>
    <w:lvl w:ilvl="1" w:tplc="296C68BA" w:tentative="1">
      <w:start w:val="1"/>
      <w:numFmt w:val="lowerLetter"/>
      <w:lvlText w:val="%2."/>
      <w:lvlJc w:val="left"/>
      <w:pPr>
        <w:tabs>
          <w:tab w:val="num" w:pos="1440"/>
        </w:tabs>
        <w:ind w:left="1440" w:hanging="360"/>
      </w:pPr>
      <w:rPr>
        <w:rFonts w:cs="Times New Roman"/>
      </w:rPr>
    </w:lvl>
    <w:lvl w:ilvl="2" w:tplc="0D049FA4" w:tentative="1">
      <w:start w:val="1"/>
      <w:numFmt w:val="lowerRoman"/>
      <w:lvlText w:val="%3."/>
      <w:lvlJc w:val="right"/>
      <w:pPr>
        <w:tabs>
          <w:tab w:val="num" w:pos="2160"/>
        </w:tabs>
        <w:ind w:left="2160" w:hanging="180"/>
      </w:pPr>
      <w:rPr>
        <w:rFonts w:cs="Times New Roman"/>
      </w:rPr>
    </w:lvl>
    <w:lvl w:ilvl="3" w:tplc="0480E9F4" w:tentative="1">
      <w:start w:val="1"/>
      <w:numFmt w:val="decimal"/>
      <w:lvlText w:val="%4."/>
      <w:lvlJc w:val="left"/>
      <w:pPr>
        <w:tabs>
          <w:tab w:val="num" w:pos="2880"/>
        </w:tabs>
        <w:ind w:left="2880" w:hanging="360"/>
      </w:pPr>
      <w:rPr>
        <w:rFonts w:cs="Times New Roman"/>
      </w:rPr>
    </w:lvl>
    <w:lvl w:ilvl="4" w:tplc="D5C8E944" w:tentative="1">
      <w:start w:val="1"/>
      <w:numFmt w:val="lowerLetter"/>
      <w:lvlText w:val="%5."/>
      <w:lvlJc w:val="left"/>
      <w:pPr>
        <w:tabs>
          <w:tab w:val="num" w:pos="3600"/>
        </w:tabs>
        <w:ind w:left="3600" w:hanging="360"/>
      </w:pPr>
      <w:rPr>
        <w:rFonts w:cs="Times New Roman"/>
      </w:rPr>
    </w:lvl>
    <w:lvl w:ilvl="5" w:tplc="6C10FBEC" w:tentative="1">
      <w:start w:val="1"/>
      <w:numFmt w:val="lowerRoman"/>
      <w:lvlText w:val="%6."/>
      <w:lvlJc w:val="right"/>
      <w:pPr>
        <w:tabs>
          <w:tab w:val="num" w:pos="4320"/>
        </w:tabs>
        <w:ind w:left="4320" w:hanging="180"/>
      </w:pPr>
      <w:rPr>
        <w:rFonts w:cs="Times New Roman"/>
      </w:rPr>
    </w:lvl>
    <w:lvl w:ilvl="6" w:tplc="1486AE72" w:tentative="1">
      <w:start w:val="1"/>
      <w:numFmt w:val="decimal"/>
      <w:lvlText w:val="%7."/>
      <w:lvlJc w:val="left"/>
      <w:pPr>
        <w:tabs>
          <w:tab w:val="num" w:pos="5040"/>
        </w:tabs>
        <w:ind w:left="5040" w:hanging="360"/>
      </w:pPr>
      <w:rPr>
        <w:rFonts w:cs="Times New Roman"/>
      </w:rPr>
    </w:lvl>
    <w:lvl w:ilvl="7" w:tplc="E2D238C4" w:tentative="1">
      <w:start w:val="1"/>
      <w:numFmt w:val="lowerLetter"/>
      <w:lvlText w:val="%8."/>
      <w:lvlJc w:val="left"/>
      <w:pPr>
        <w:tabs>
          <w:tab w:val="num" w:pos="5760"/>
        </w:tabs>
        <w:ind w:left="5760" w:hanging="360"/>
      </w:pPr>
      <w:rPr>
        <w:rFonts w:cs="Times New Roman"/>
      </w:rPr>
    </w:lvl>
    <w:lvl w:ilvl="8" w:tplc="354869B6" w:tentative="1">
      <w:start w:val="1"/>
      <w:numFmt w:val="lowerRoman"/>
      <w:lvlText w:val="%9."/>
      <w:lvlJc w:val="right"/>
      <w:pPr>
        <w:tabs>
          <w:tab w:val="num" w:pos="6480"/>
        </w:tabs>
        <w:ind w:left="6480" w:hanging="180"/>
      </w:pPr>
      <w:rPr>
        <w:rFonts w:cs="Times New Roman"/>
      </w:rPr>
    </w:lvl>
  </w:abstractNum>
  <w:abstractNum w:abstractNumId="8" w15:restartNumberingAfterBreak="0">
    <w:nsid w:val="66297720"/>
    <w:multiLevelType w:val="hybridMultilevel"/>
    <w:tmpl w:val="D372435A"/>
    <w:lvl w:ilvl="0" w:tplc="89948014">
      <w:start w:val="1"/>
      <w:numFmt w:val="bullet"/>
      <w:lvlText w:val=""/>
      <w:lvlJc w:val="left"/>
      <w:pPr>
        <w:tabs>
          <w:tab w:val="num" w:pos="720"/>
        </w:tabs>
        <w:ind w:left="720" w:hanging="360"/>
      </w:pPr>
      <w:rPr>
        <w:rFonts w:ascii="Symbol" w:hAnsi="Symbol" w:hint="default"/>
        <w:sz w:val="20"/>
      </w:rPr>
    </w:lvl>
    <w:lvl w:ilvl="1" w:tplc="FB10351C" w:tentative="1">
      <w:start w:val="1"/>
      <w:numFmt w:val="bullet"/>
      <w:lvlText w:val="o"/>
      <w:lvlJc w:val="left"/>
      <w:pPr>
        <w:tabs>
          <w:tab w:val="num" w:pos="1440"/>
        </w:tabs>
        <w:ind w:left="1440" w:hanging="360"/>
      </w:pPr>
      <w:rPr>
        <w:rFonts w:ascii="Courier New" w:hAnsi="Courier New" w:hint="default"/>
        <w:sz w:val="20"/>
      </w:rPr>
    </w:lvl>
    <w:lvl w:ilvl="2" w:tplc="C5A252A6" w:tentative="1">
      <w:start w:val="1"/>
      <w:numFmt w:val="bullet"/>
      <w:lvlText w:val=""/>
      <w:lvlJc w:val="left"/>
      <w:pPr>
        <w:tabs>
          <w:tab w:val="num" w:pos="2160"/>
        </w:tabs>
        <w:ind w:left="2160" w:hanging="360"/>
      </w:pPr>
      <w:rPr>
        <w:rFonts w:ascii="Wingdings" w:hAnsi="Wingdings" w:hint="default"/>
        <w:sz w:val="20"/>
      </w:rPr>
    </w:lvl>
    <w:lvl w:ilvl="3" w:tplc="3CCE2C4E" w:tentative="1">
      <w:start w:val="1"/>
      <w:numFmt w:val="bullet"/>
      <w:lvlText w:val=""/>
      <w:lvlJc w:val="left"/>
      <w:pPr>
        <w:tabs>
          <w:tab w:val="num" w:pos="2880"/>
        </w:tabs>
        <w:ind w:left="2880" w:hanging="360"/>
      </w:pPr>
      <w:rPr>
        <w:rFonts w:ascii="Wingdings" w:hAnsi="Wingdings" w:hint="default"/>
        <w:sz w:val="20"/>
      </w:rPr>
    </w:lvl>
    <w:lvl w:ilvl="4" w:tplc="2168E724" w:tentative="1">
      <w:start w:val="1"/>
      <w:numFmt w:val="bullet"/>
      <w:lvlText w:val=""/>
      <w:lvlJc w:val="left"/>
      <w:pPr>
        <w:tabs>
          <w:tab w:val="num" w:pos="3600"/>
        </w:tabs>
        <w:ind w:left="3600" w:hanging="360"/>
      </w:pPr>
      <w:rPr>
        <w:rFonts w:ascii="Wingdings" w:hAnsi="Wingdings" w:hint="default"/>
        <w:sz w:val="20"/>
      </w:rPr>
    </w:lvl>
    <w:lvl w:ilvl="5" w:tplc="F25651F8" w:tentative="1">
      <w:start w:val="1"/>
      <w:numFmt w:val="bullet"/>
      <w:lvlText w:val=""/>
      <w:lvlJc w:val="left"/>
      <w:pPr>
        <w:tabs>
          <w:tab w:val="num" w:pos="4320"/>
        </w:tabs>
        <w:ind w:left="4320" w:hanging="360"/>
      </w:pPr>
      <w:rPr>
        <w:rFonts w:ascii="Wingdings" w:hAnsi="Wingdings" w:hint="default"/>
        <w:sz w:val="20"/>
      </w:rPr>
    </w:lvl>
    <w:lvl w:ilvl="6" w:tplc="1368F560" w:tentative="1">
      <w:start w:val="1"/>
      <w:numFmt w:val="bullet"/>
      <w:lvlText w:val=""/>
      <w:lvlJc w:val="left"/>
      <w:pPr>
        <w:tabs>
          <w:tab w:val="num" w:pos="5040"/>
        </w:tabs>
        <w:ind w:left="5040" w:hanging="360"/>
      </w:pPr>
      <w:rPr>
        <w:rFonts w:ascii="Wingdings" w:hAnsi="Wingdings" w:hint="default"/>
        <w:sz w:val="20"/>
      </w:rPr>
    </w:lvl>
    <w:lvl w:ilvl="7" w:tplc="015213E4" w:tentative="1">
      <w:start w:val="1"/>
      <w:numFmt w:val="bullet"/>
      <w:lvlText w:val=""/>
      <w:lvlJc w:val="left"/>
      <w:pPr>
        <w:tabs>
          <w:tab w:val="num" w:pos="5760"/>
        </w:tabs>
        <w:ind w:left="5760" w:hanging="360"/>
      </w:pPr>
      <w:rPr>
        <w:rFonts w:ascii="Wingdings" w:hAnsi="Wingdings" w:hint="default"/>
        <w:sz w:val="20"/>
      </w:rPr>
    </w:lvl>
    <w:lvl w:ilvl="8" w:tplc="675EFC2E"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F01969"/>
    <w:multiLevelType w:val="hybridMultilevel"/>
    <w:tmpl w:val="72220E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3"/>
  </w:num>
  <w:num w:numId="5">
    <w:abstractNumId w:val="7"/>
  </w:num>
  <w:num w:numId="6">
    <w:abstractNumId w:val="2"/>
  </w:num>
  <w:num w:numId="7">
    <w:abstractNumId w:val="6"/>
  </w:num>
  <w:num w:numId="8">
    <w:abstractNumId w:val="4"/>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FB1"/>
    <w:rsid w:val="00004883"/>
    <w:rsid w:val="00015BCA"/>
    <w:rsid w:val="00024651"/>
    <w:rsid w:val="0004094A"/>
    <w:rsid w:val="00072A33"/>
    <w:rsid w:val="000C704A"/>
    <w:rsid w:val="00102A96"/>
    <w:rsid w:val="00174C6A"/>
    <w:rsid w:val="001918DD"/>
    <w:rsid w:val="002005AF"/>
    <w:rsid w:val="00200872"/>
    <w:rsid w:val="00234FB1"/>
    <w:rsid w:val="0028432D"/>
    <w:rsid w:val="002C6B6C"/>
    <w:rsid w:val="002D7403"/>
    <w:rsid w:val="002E5E26"/>
    <w:rsid w:val="003479E5"/>
    <w:rsid w:val="0036325A"/>
    <w:rsid w:val="003B2E05"/>
    <w:rsid w:val="003F2692"/>
    <w:rsid w:val="0040610F"/>
    <w:rsid w:val="0041156E"/>
    <w:rsid w:val="0041628F"/>
    <w:rsid w:val="00434871"/>
    <w:rsid w:val="004642E2"/>
    <w:rsid w:val="00492AB4"/>
    <w:rsid w:val="004B3438"/>
    <w:rsid w:val="004B624B"/>
    <w:rsid w:val="004B6C59"/>
    <w:rsid w:val="004E1D02"/>
    <w:rsid w:val="005022A1"/>
    <w:rsid w:val="0050526A"/>
    <w:rsid w:val="005137B9"/>
    <w:rsid w:val="00543ED4"/>
    <w:rsid w:val="005524BC"/>
    <w:rsid w:val="005638EB"/>
    <w:rsid w:val="00595791"/>
    <w:rsid w:val="00596F9A"/>
    <w:rsid w:val="005F29C6"/>
    <w:rsid w:val="005F4D2E"/>
    <w:rsid w:val="00612463"/>
    <w:rsid w:val="006549F4"/>
    <w:rsid w:val="00654F2D"/>
    <w:rsid w:val="00694641"/>
    <w:rsid w:val="006B7BA2"/>
    <w:rsid w:val="006F09EB"/>
    <w:rsid w:val="006F25EF"/>
    <w:rsid w:val="00703A71"/>
    <w:rsid w:val="0071129B"/>
    <w:rsid w:val="007149D2"/>
    <w:rsid w:val="00753CCB"/>
    <w:rsid w:val="007600D1"/>
    <w:rsid w:val="0079493D"/>
    <w:rsid w:val="007A6F09"/>
    <w:rsid w:val="007F255B"/>
    <w:rsid w:val="00807564"/>
    <w:rsid w:val="00816924"/>
    <w:rsid w:val="00823053"/>
    <w:rsid w:val="00834A60"/>
    <w:rsid w:val="00850D44"/>
    <w:rsid w:val="008B4504"/>
    <w:rsid w:val="008C1686"/>
    <w:rsid w:val="008D12DD"/>
    <w:rsid w:val="008E1C7A"/>
    <w:rsid w:val="008E6675"/>
    <w:rsid w:val="009B1C7E"/>
    <w:rsid w:val="009B3BB5"/>
    <w:rsid w:val="009C0B84"/>
    <w:rsid w:val="00A00CCB"/>
    <w:rsid w:val="00A0614C"/>
    <w:rsid w:val="00A2016B"/>
    <w:rsid w:val="00A21E9E"/>
    <w:rsid w:val="00A32E7A"/>
    <w:rsid w:val="00A345A9"/>
    <w:rsid w:val="00A530BE"/>
    <w:rsid w:val="00A933D4"/>
    <w:rsid w:val="00A93AAD"/>
    <w:rsid w:val="00AE4C49"/>
    <w:rsid w:val="00AF3E9F"/>
    <w:rsid w:val="00B03A61"/>
    <w:rsid w:val="00B17144"/>
    <w:rsid w:val="00B574E9"/>
    <w:rsid w:val="00B6570D"/>
    <w:rsid w:val="00B773B8"/>
    <w:rsid w:val="00BB4A54"/>
    <w:rsid w:val="00BC4042"/>
    <w:rsid w:val="00BF11AE"/>
    <w:rsid w:val="00CD2365"/>
    <w:rsid w:val="00CE69F3"/>
    <w:rsid w:val="00CF5ECC"/>
    <w:rsid w:val="00CF6714"/>
    <w:rsid w:val="00D0759B"/>
    <w:rsid w:val="00D1375A"/>
    <w:rsid w:val="00D216BD"/>
    <w:rsid w:val="00D21A79"/>
    <w:rsid w:val="00D31B82"/>
    <w:rsid w:val="00D63F45"/>
    <w:rsid w:val="00D82CD4"/>
    <w:rsid w:val="00D87B96"/>
    <w:rsid w:val="00D9586E"/>
    <w:rsid w:val="00DB4789"/>
    <w:rsid w:val="00DC6CBD"/>
    <w:rsid w:val="00DE0987"/>
    <w:rsid w:val="00E24E3B"/>
    <w:rsid w:val="00E3380C"/>
    <w:rsid w:val="00E86725"/>
    <w:rsid w:val="00E9243F"/>
    <w:rsid w:val="00E92C57"/>
    <w:rsid w:val="00EC0987"/>
    <w:rsid w:val="00EE5875"/>
    <w:rsid w:val="00F000AA"/>
    <w:rsid w:val="00F233AA"/>
    <w:rsid w:val="00F33C60"/>
    <w:rsid w:val="00F91167"/>
    <w:rsid w:val="00F954B0"/>
    <w:rsid w:val="00FF4695"/>
    <w:rsid w:val="00FF51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2D297FD9"/>
  <w15:docId w15:val="{8FB5112E-A181-4E32-9DF3-83D1C7190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E1D02"/>
    <w:rPr>
      <w:sz w:val="24"/>
      <w:szCs w:val="24"/>
    </w:rPr>
  </w:style>
  <w:style w:type="paragraph" w:styleId="berschrift2">
    <w:name w:val="heading 2"/>
    <w:basedOn w:val="Standard"/>
    <w:link w:val="berschrift2Zchn"/>
    <w:uiPriority w:val="99"/>
    <w:qFormat/>
    <w:rsid w:val="004E1D02"/>
    <w:pPr>
      <w:spacing w:before="100" w:beforeAutospacing="1" w:after="100" w:afterAutospacing="1"/>
      <w:outlineLvl w:val="1"/>
    </w:pPr>
    <w:rPr>
      <w:rFonts w:ascii="Arial" w:hAnsi="Arial" w:cs="Arial"/>
      <w:b/>
      <w:bCs/>
      <w:color w:val="000000"/>
      <w:sz w:val="30"/>
      <w:szCs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8B4504"/>
    <w:rPr>
      <w:rFonts w:ascii="Cambria" w:hAnsi="Cambria" w:cs="Times New Roman"/>
      <w:b/>
      <w:bCs/>
      <w:i/>
      <w:iCs/>
      <w:sz w:val="28"/>
      <w:szCs w:val="28"/>
    </w:rPr>
  </w:style>
  <w:style w:type="paragraph" w:styleId="Textkrper">
    <w:name w:val="Body Text"/>
    <w:basedOn w:val="Standard"/>
    <w:link w:val="TextkrperZchn"/>
    <w:uiPriority w:val="99"/>
    <w:rsid w:val="004E1D02"/>
    <w:pPr>
      <w:spacing w:line="480" w:lineRule="auto"/>
      <w:jc w:val="both"/>
    </w:pPr>
    <w:rPr>
      <w:szCs w:val="20"/>
    </w:rPr>
  </w:style>
  <w:style w:type="character" w:customStyle="1" w:styleId="TextkrperZchn">
    <w:name w:val="Textkörper Zchn"/>
    <w:basedOn w:val="Absatz-Standardschriftart"/>
    <w:link w:val="Textkrper"/>
    <w:uiPriority w:val="99"/>
    <w:semiHidden/>
    <w:locked/>
    <w:rsid w:val="008B4504"/>
    <w:rPr>
      <w:rFonts w:cs="Times New Roman"/>
      <w:sz w:val="24"/>
      <w:szCs w:val="24"/>
    </w:rPr>
  </w:style>
  <w:style w:type="paragraph" w:styleId="StandardWeb">
    <w:name w:val="Normal (Web)"/>
    <w:basedOn w:val="Standard"/>
    <w:uiPriority w:val="99"/>
    <w:rsid w:val="004E1D02"/>
    <w:pPr>
      <w:spacing w:before="100" w:beforeAutospacing="1" w:after="100" w:afterAutospacing="1"/>
    </w:pPr>
    <w:rPr>
      <w:color w:val="000000"/>
    </w:rPr>
  </w:style>
  <w:style w:type="character" w:styleId="Hyperlink">
    <w:name w:val="Hyperlink"/>
    <w:basedOn w:val="Absatz-Standardschriftart"/>
    <w:uiPriority w:val="99"/>
    <w:rsid w:val="004E1D02"/>
    <w:rPr>
      <w:rFonts w:cs="Times New Roman"/>
      <w:color w:val="0000FF"/>
      <w:u w:val="single"/>
    </w:rPr>
  </w:style>
  <w:style w:type="paragraph" w:styleId="Textkrper2">
    <w:name w:val="Body Text 2"/>
    <w:basedOn w:val="Standard"/>
    <w:link w:val="Textkrper2Zchn"/>
    <w:uiPriority w:val="99"/>
    <w:rsid w:val="004E1D02"/>
    <w:rPr>
      <w:rFonts w:ascii="Arial" w:hAnsi="Arial" w:cs="Arial"/>
      <w:b/>
      <w:bCs/>
      <w:sz w:val="22"/>
    </w:rPr>
  </w:style>
  <w:style w:type="character" w:customStyle="1" w:styleId="Textkrper2Zchn">
    <w:name w:val="Textkörper 2 Zchn"/>
    <w:basedOn w:val="Absatz-Standardschriftart"/>
    <w:link w:val="Textkrper2"/>
    <w:uiPriority w:val="99"/>
    <w:semiHidden/>
    <w:locked/>
    <w:rsid w:val="008B4504"/>
    <w:rPr>
      <w:rFonts w:cs="Times New Roman"/>
      <w:sz w:val="24"/>
      <w:szCs w:val="24"/>
    </w:rPr>
  </w:style>
  <w:style w:type="paragraph" w:customStyle="1" w:styleId="affiliation">
    <w:name w:val="affiliation"/>
    <w:basedOn w:val="Standard"/>
    <w:uiPriority w:val="99"/>
    <w:rsid w:val="004E1D02"/>
    <w:rPr>
      <w:color w:val="000000"/>
    </w:rPr>
  </w:style>
  <w:style w:type="character" w:customStyle="1" w:styleId="ti2">
    <w:name w:val="ti2"/>
    <w:basedOn w:val="Absatz-Standardschriftart"/>
    <w:uiPriority w:val="99"/>
    <w:rsid w:val="004E1D02"/>
    <w:rPr>
      <w:rFonts w:cs="Times New Roman"/>
    </w:rPr>
  </w:style>
  <w:style w:type="character" w:customStyle="1" w:styleId="featuredlinkouts">
    <w:name w:val="featured_linkouts"/>
    <w:basedOn w:val="Absatz-Standardschriftart"/>
    <w:uiPriority w:val="99"/>
    <w:rsid w:val="004E1D02"/>
    <w:rPr>
      <w:rFonts w:cs="Times New Roman"/>
    </w:rPr>
  </w:style>
  <w:style w:type="character" w:customStyle="1" w:styleId="linkbar">
    <w:name w:val="linkbar"/>
    <w:basedOn w:val="Absatz-Standardschriftart"/>
    <w:uiPriority w:val="99"/>
    <w:rsid w:val="004E1D02"/>
    <w:rPr>
      <w:rFonts w:cs="Times New Roman"/>
    </w:rPr>
  </w:style>
  <w:style w:type="character" w:styleId="BesuchterHyperlink">
    <w:name w:val="FollowedHyperlink"/>
    <w:basedOn w:val="Absatz-Standardschriftart"/>
    <w:uiPriority w:val="99"/>
    <w:rsid w:val="004E1D02"/>
    <w:rPr>
      <w:rFonts w:cs="Times New Roman"/>
      <w:color w:val="800080"/>
      <w:u w:val="single"/>
    </w:rPr>
  </w:style>
  <w:style w:type="paragraph" w:styleId="Sprechblasentext">
    <w:name w:val="Balloon Text"/>
    <w:basedOn w:val="Standard"/>
    <w:link w:val="SprechblasentextZchn"/>
    <w:uiPriority w:val="99"/>
    <w:semiHidden/>
    <w:rsid w:val="004E1D0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B4504"/>
    <w:rPr>
      <w:rFonts w:cs="Times New Roman"/>
      <w:sz w:val="2"/>
    </w:rPr>
  </w:style>
  <w:style w:type="paragraph" w:styleId="Titel">
    <w:name w:val="Title"/>
    <w:basedOn w:val="Standard"/>
    <w:next w:val="Standard"/>
    <w:link w:val="TitelZchn"/>
    <w:uiPriority w:val="99"/>
    <w:qFormat/>
    <w:rsid w:val="005638EB"/>
    <w:pPr>
      <w:pBdr>
        <w:bottom w:val="single" w:sz="8" w:space="4" w:color="2DA2BF"/>
      </w:pBdr>
      <w:spacing w:after="300"/>
      <w:contextualSpacing/>
    </w:pPr>
    <w:rPr>
      <w:rFonts w:ascii="Lucida Sans Unicode" w:hAnsi="Lucida Sans Unicode"/>
      <w:color w:val="343434"/>
      <w:spacing w:val="5"/>
      <w:kern w:val="28"/>
      <w:sz w:val="52"/>
      <w:szCs w:val="52"/>
    </w:rPr>
  </w:style>
  <w:style w:type="character" w:customStyle="1" w:styleId="TitelZchn">
    <w:name w:val="Titel Zchn"/>
    <w:basedOn w:val="Absatz-Standardschriftart"/>
    <w:link w:val="Titel"/>
    <w:uiPriority w:val="99"/>
    <w:locked/>
    <w:rsid w:val="005638EB"/>
    <w:rPr>
      <w:rFonts w:ascii="Lucida Sans Unicode" w:hAnsi="Lucida Sans Unicode" w:cs="Times New Roman"/>
      <w:color w:val="343434"/>
      <w:spacing w:val="5"/>
      <w:kern w:val="28"/>
      <w:sz w:val="52"/>
      <w:szCs w:val="52"/>
    </w:rPr>
  </w:style>
  <w:style w:type="paragraph" w:styleId="Kopfzeile">
    <w:name w:val="header"/>
    <w:basedOn w:val="Standard"/>
    <w:link w:val="KopfzeileZchn"/>
    <w:uiPriority w:val="99"/>
    <w:rsid w:val="004E1D02"/>
    <w:pPr>
      <w:tabs>
        <w:tab w:val="center" w:pos="4536"/>
        <w:tab w:val="right" w:pos="9072"/>
      </w:tabs>
    </w:pPr>
  </w:style>
  <w:style w:type="character" w:customStyle="1" w:styleId="KopfzeileZchn">
    <w:name w:val="Kopfzeile Zchn"/>
    <w:basedOn w:val="Absatz-Standardschriftart"/>
    <w:link w:val="Kopfzeile"/>
    <w:uiPriority w:val="99"/>
    <w:semiHidden/>
    <w:locked/>
    <w:rsid w:val="008B4504"/>
    <w:rPr>
      <w:rFonts w:cs="Times New Roman"/>
      <w:sz w:val="24"/>
      <w:szCs w:val="24"/>
    </w:rPr>
  </w:style>
  <w:style w:type="paragraph" w:styleId="Fuzeile">
    <w:name w:val="footer"/>
    <w:basedOn w:val="Standard"/>
    <w:link w:val="FuzeileZchn"/>
    <w:rsid w:val="004E1D02"/>
    <w:pPr>
      <w:tabs>
        <w:tab w:val="center" w:pos="4536"/>
        <w:tab w:val="right" w:pos="9072"/>
      </w:tabs>
    </w:pPr>
  </w:style>
  <w:style w:type="character" w:customStyle="1" w:styleId="FuzeileZchn">
    <w:name w:val="Fußzeile Zchn"/>
    <w:basedOn w:val="Absatz-Standardschriftart"/>
    <w:link w:val="Fuzeile"/>
    <w:uiPriority w:val="99"/>
    <w:semiHidden/>
    <w:locked/>
    <w:rsid w:val="008B4504"/>
    <w:rPr>
      <w:rFonts w:cs="Times New Roman"/>
      <w:sz w:val="24"/>
      <w:szCs w:val="24"/>
    </w:rPr>
  </w:style>
  <w:style w:type="character" w:styleId="Fett">
    <w:name w:val="Strong"/>
    <w:basedOn w:val="Absatz-Standardschriftart"/>
    <w:qFormat/>
    <w:locked/>
    <w:rsid w:val="006F25EF"/>
    <w:rPr>
      <w:b/>
      <w:bCs/>
    </w:rPr>
  </w:style>
  <w:style w:type="paragraph" w:styleId="Listenabsatz">
    <w:name w:val="List Paragraph"/>
    <w:basedOn w:val="Standard"/>
    <w:uiPriority w:val="34"/>
    <w:qFormat/>
    <w:rsid w:val="00D1375A"/>
    <w:pPr>
      <w:ind w:left="720"/>
      <w:contextualSpacing/>
    </w:pPr>
    <w:rPr>
      <w:rFonts w:ascii="TheSansOffice" w:hAnsi="TheSansOffice"/>
    </w:rPr>
  </w:style>
  <w:style w:type="paragraph" w:customStyle="1" w:styleId="Default">
    <w:name w:val="Default"/>
    <w:rsid w:val="00CF6714"/>
    <w:pPr>
      <w:autoSpaceDE w:val="0"/>
      <w:autoSpaceDN w:val="0"/>
      <w:adjustRightInd w:val="0"/>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7149D2"/>
    <w:rPr>
      <w:sz w:val="16"/>
      <w:szCs w:val="16"/>
    </w:rPr>
  </w:style>
  <w:style w:type="paragraph" w:styleId="Kommentartext">
    <w:name w:val="annotation text"/>
    <w:basedOn w:val="Standard"/>
    <w:link w:val="KommentartextZchn"/>
    <w:uiPriority w:val="99"/>
    <w:semiHidden/>
    <w:unhideWhenUsed/>
    <w:rsid w:val="007149D2"/>
    <w:rPr>
      <w:sz w:val="20"/>
      <w:szCs w:val="20"/>
    </w:rPr>
  </w:style>
  <w:style w:type="character" w:customStyle="1" w:styleId="KommentartextZchn">
    <w:name w:val="Kommentartext Zchn"/>
    <w:basedOn w:val="Absatz-Standardschriftart"/>
    <w:link w:val="Kommentartext"/>
    <w:uiPriority w:val="99"/>
    <w:semiHidden/>
    <w:rsid w:val="007149D2"/>
    <w:rPr>
      <w:sz w:val="20"/>
      <w:szCs w:val="20"/>
    </w:rPr>
  </w:style>
  <w:style w:type="paragraph" w:styleId="Kommentarthema">
    <w:name w:val="annotation subject"/>
    <w:basedOn w:val="Kommentartext"/>
    <w:next w:val="Kommentartext"/>
    <w:link w:val="KommentarthemaZchn"/>
    <w:uiPriority w:val="99"/>
    <w:semiHidden/>
    <w:unhideWhenUsed/>
    <w:rsid w:val="007149D2"/>
    <w:rPr>
      <w:b/>
      <w:bCs/>
    </w:rPr>
  </w:style>
  <w:style w:type="character" w:customStyle="1" w:styleId="KommentarthemaZchn">
    <w:name w:val="Kommentarthema Zchn"/>
    <w:basedOn w:val="KommentartextZchn"/>
    <w:link w:val="Kommentarthema"/>
    <w:uiPriority w:val="99"/>
    <w:semiHidden/>
    <w:rsid w:val="007149D2"/>
    <w:rPr>
      <w:b/>
      <w:bCs/>
      <w:sz w:val="20"/>
      <w:szCs w:val="20"/>
    </w:rPr>
  </w:style>
  <w:style w:type="character" w:styleId="Seitenzahl">
    <w:name w:val="page number"/>
    <w:basedOn w:val="Absatz-Standardschriftart"/>
    <w:rsid w:val="00D07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kinderkrebsinf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1007</Words>
  <Characters>6345</Characters>
  <Application>Microsoft Office Word</Application>
  <DocSecurity>4</DocSecurity>
  <Lines>52</Lines>
  <Paragraphs>14</Paragraphs>
  <ScaleCrop>false</ScaleCrop>
  <HeadingPairs>
    <vt:vector size="2" baseType="variant">
      <vt:variant>
        <vt:lpstr>Titel</vt:lpstr>
      </vt:variant>
      <vt:variant>
        <vt:i4>1</vt:i4>
      </vt:variant>
    </vt:vector>
  </HeadingPairs>
  <TitlesOfParts>
    <vt:vector size="1" baseType="lpstr">
      <vt:lpstr>1</vt:lpstr>
    </vt:vector>
  </TitlesOfParts>
  <Company>Klinikum der Universitaet Muenchen</Company>
  <LinksUpToDate>false</LinksUpToDate>
  <CharactersWithSpaces>7338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Massenkeil</dc:creator>
  <cp:lastModifiedBy>Dobke, Julia</cp:lastModifiedBy>
  <cp:revision>2</cp:revision>
  <cp:lastPrinted>2016-09-19T14:16:00Z</cp:lastPrinted>
  <dcterms:created xsi:type="dcterms:W3CDTF">2017-10-13T06:39:00Z</dcterms:created>
  <dcterms:modified xsi:type="dcterms:W3CDTF">2017-10-13T06:39:00Z</dcterms:modified>
</cp:coreProperties>
</file>