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7416B296" w14:textId="77777777" w:rsidTr="006A7E7F">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7E3FE3E5"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Haben Sie externe Hilfestellungen zum Ausfüllen der Formblätter in Anspruch genommen? Wenn ja, bitte geben Sie an, welche Hilfestellung Sie in Anspruch genommen haben?</w:t>
            </w:r>
          </w:p>
        </w:tc>
      </w:tr>
      <w:tr w:rsidR="006A7E7F" w:rsidRPr="006A7E7F" w14:paraId="6FFB1710" w14:textId="77777777" w:rsidTr="006A7E7F">
        <w:trPr>
          <w:trHeight w:val="504"/>
        </w:trPr>
        <w:tc>
          <w:tcPr>
            <w:tcW w:w="9215" w:type="dxa"/>
            <w:tcBorders>
              <w:top w:val="single" w:sz="4" w:space="0" w:color="000000"/>
              <w:left w:val="single" w:sz="4" w:space="0" w:color="000000"/>
              <w:bottom w:val="single" w:sz="4" w:space="0" w:color="000000"/>
              <w:right w:val="single" w:sz="4" w:space="0" w:color="000000"/>
            </w:tcBorders>
            <w:hideMark/>
          </w:tcPr>
          <w:p w14:paraId="25CE2200" w14:textId="72AE7CF7" w:rsidR="006A7E7F" w:rsidRPr="006A7E7F" w:rsidRDefault="006A7E7F" w:rsidP="006A7E7F">
            <w:pPr>
              <w:spacing w:after="0"/>
              <w:rPr>
                <w:rFonts w:ascii="Arial Narrow" w:hAnsi="Arial Narrow"/>
                <w:sz w:val="22"/>
                <w:szCs w:val="22"/>
              </w:rPr>
            </w:pPr>
            <w:r w:rsidRPr="006A7E7F">
              <w:rPr>
                <w:rFonts w:ascii="Arial Narrow" w:hAnsi="Arial Narrow"/>
                <w:sz w:val="22"/>
                <w:szCs w:val="22"/>
              </w:rPr>
              <w:t>Dieser Antrag wurde durch die deutsche Gesellschaft für Hämatologie und medizinische Onkologie e.V. vorformulier</w:t>
            </w:r>
            <w:r w:rsidR="009E524A">
              <w:rPr>
                <w:rFonts w:ascii="Arial Narrow" w:hAnsi="Arial Narrow"/>
                <w:sz w:val="22"/>
                <w:szCs w:val="22"/>
              </w:rPr>
              <w:t>t</w:t>
            </w:r>
            <w:r w:rsidR="00254FED">
              <w:rPr>
                <w:rFonts w:ascii="Arial Narrow" w:hAnsi="Arial Narrow"/>
                <w:sz w:val="22"/>
                <w:szCs w:val="22"/>
              </w:rPr>
              <w:t xml:space="preserve"> und wird durch die Gesellschaft für Pädiatrische Hämatologie und Onkologie e.V. unterstützt</w:t>
            </w:r>
            <w:r w:rsidRPr="006A7E7F">
              <w:rPr>
                <w:rFonts w:ascii="Arial Narrow" w:hAnsi="Arial Narrow"/>
                <w:sz w:val="22"/>
                <w:szCs w:val="22"/>
              </w:rPr>
              <w:t>.</w:t>
            </w:r>
          </w:p>
        </w:tc>
      </w:tr>
    </w:tbl>
    <w:p w14:paraId="0EB0C271"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257A8AE" w14:textId="77777777" w:rsidTr="006A7E7F">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E2025D2" w14:textId="77777777" w:rsidR="006A7E7F" w:rsidRPr="006A7E7F" w:rsidRDefault="006A7E7F" w:rsidP="006A7E7F">
            <w:pPr>
              <w:spacing w:after="0"/>
              <w:rPr>
                <w:rFonts w:ascii="Arial Narrow" w:hAnsi="Arial Narrow"/>
                <w:b/>
                <w:sz w:val="22"/>
                <w:szCs w:val="22"/>
                <w:lang w:val="en-US"/>
              </w:rPr>
            </w:pPr>
            <w:proofErr w:type="spellStart"/>
            <w:r w:rsidRPr="006A7E7F">
              <w:rPr>
                <w:rFonts w:ascii="Arial Narrow" w:hAnsi="Arial Narrow"/>
                <w:b/>
                <w:sz w:val="22"/>
                <w:szCs w:val="22"/>
                <w:lang w:val="en-US"/>
              </w:rPr>
              <w:t>Angefragte</w:t>
            </w:r>
            <w:proofErr w:type="spellEnd"/>
            <w:r w:rsidRPr="006A7E7F">
              <w:rPr>
                <w:rFonts w:ascii="Arial Narrow" w:hAnsi="Arial Narrow"/>
                <w:b/>
                <w:sz w:val="22"/>
                <w:szCs w:val="22"/>
                <w:lang w:val="en-US"/>
              </w:rPr>
              <w:t xml:space="preserve"> </w:t>
            </w:r>
            <w:proofErr w:type="spellStart"/>
            <w:r w:rsidRPr="006A7E7F">
              <w:rPr>
                <w:rFonts w:ascii="Arial Narrow" w:hAnsi="Arial Narrow"/>
                <w:b/>
                <w:sz w:val="22"/>
                <w:szCs w:val="22"/>
                <w:lang w:val="en-US"/>
              </w:rPr>
              <w:t>Untersuchungs</w:t>
            </w:r>
            <w:proofErr w:type="spellEnd"/>
            <w:r w:rsidRPr="006A7E7F">
              <w:rPr>
                <w:rFonts w:ascii="Arial Narrow" w:hAnsi="Arial Narrow"/>
                <w:b/>
                <w:sz w:val="22"/>
                <w:szCs w:val="22"/>
                <w:lang w:val="en-US"/>
              </w:rPr>
              <w:t xml:space="preserve">- und </w:t>
            </w:r>
            <w:proofErr w:type="spellStart"/>
            <w:r w:rsidRPr="006A7E7F">
              <w:rPr>
                <w:rFonts w:ascii="Arial Narrow" w:hAnsi="Arial Narrow"/>
                <w:b/>
                <w:sz w:val="22"/>
                <w:szCs w:val="22"/>
                <w:lang w:val="en-US"/>
              </w:rPr>
              <w:t>Behandlungsmethode</w:t>
            </w:r>
            <w:proofErr w:type="spellEnd"/>
          </w:p>
        </w:tc>
      </w:tr>
      <w:tr w:rsidR="006A7E7F" w:rsidRPr="006A7E7F" w14:paraId="43531B61"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7EEE851" w14:textId="401D7E25" w:rsidR="006A7E7F" w:rsidRPr="006A7E7F" w:rsidRDefault="00D62803" w:rsidP="006A7E7F">
            <w:pPr>
              <w:spacing w:after="0"/>
              <w:rPr>
                <w:rFonts w:ascii="Arial Narrow" w:hAnsi="Arial Narrow"/>
                <w:sz w:val="22"/>
                <w:szCs w:val="22"/>
                <w:lang w:val="en-US"/>
              </w:rPr>
            </w:pPr>
            <w:proofErr w:type="spellStart"/>
            <w:r>
              <w:rPr>
                <w:rFonts w:ascii="Arial Narrow" w:hAnsi="Arial Narrow"/>
                <w:sz w:val="22"/>
                <w:szCs w:val="22"/>
                <w:lang w:val="en-US"/>
              </w:rPr>
              <w:t>Marstacimab</w:t>
            </w:r>
            <w:proofErr w:type="spellEnd"/>
          </w:p>
        </w:tc>
      </w:tr>
    </w:tbl>
    <w:p w14:paraId="664E3BAB"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48539495" w14:textId="77777777" w:rsidTr="006A7E7F">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253EA62"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Alternative Bezeichnung(en) der Methode</w:t>
            </w:r>
          </w:p>
        </w:tc>
      </w:tr>
      <w:tr w:rsidR="006A7E7F" w:rsidRPr="006A7E7F" w14:paraId="193CEC43"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977EFF2" w14:textId="340F95D6" w:rsidR="006A7E7F" w:rsidRPr="006A7E7F" w:rsidRDefault="00D62803" w:rsidP="006A7E7F">
            <w:pPr>
              <w:spacing w:after="0"/>
              <w:rPr>
                <w:rFonts w:ascii="Arial Narrow" w:hAnsi="Arial Narrow"/>
                <w:sz w:val="22"/>
                <w:szCs w:val="22"/>
                <w:lang w:val="en-US"/>
              </w:rPr>
            </w:pPr>
            <w:proofErr w:type="spellStart"/>
            <w:r>
              <w:rPr>
                <w:rFonts w:ascii="Arial Narrow" w:hAnsi="Arial Narrow"/>
                <w:sz w:val="22"/>
                <w:szCs w:val="22"/>
                <w:lang w:val="en-US"/>
              </w:rPr>
              <w:t>Hympazi</w:t>
            </w:r>
            <w:proofErr w:type="spellEnd"/>
            <w:r w:rsidR="005B423B" w:rsidRPr="005B423B">
              <w:rPr>
                <w:rFonts w:ascii="Arial Narrow" w:hAnsi="Arial Narrow"/>
                <w:sz w:val="22"/>
                <w:szCs w:val="22"/>
                <w:lang w:val="en-US"/>
              </w:rPr>
              <w:t>®</w:t>
            </w:r>
          </w:p>
        </w:tc>
      </w:tr>
    </w:tbl>
    <w:p w14:paraId="5140758B"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5A4EB35" w14:textId="77777777" w:rsidTr="006A7E7F">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30EA3FF8"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Beruht die neue Untersuchungs- und Behandlungsmethode vollständig oder in Teilen auf dem Einsatz eines Medizinproduktes?</w:t>
            </w:r>
          </w:p>
        </w:tc>
      </w:tr>
      <w:tr w:rsidR="006A7E7F" w:rsidRPr="006A7E7F" w14:paraId="27CAE54C" w14:textId="77777777" w:rsidTr="006A7E7F">
        <w:trPr>
          <w:trHeight w:val="249"/>
        </w:trPr>
        <w:tc>
          <w:tcPr>
            <w:tcW w:w="9215" w:type="dxa"/>
            <w:tcBorders>
              <w:top w:val="single" w:sz="4" w:space="0" w:color="000000"/>
              <w:left w:val="single" w:sz="4" w:space="0" w:color="000000"/>
              <w:bottom w:val="single" w:sz="4" w:space="0" w:color="000000"/>
              <w:right w:val="single" w:sz="4" w:space="0" w:color="000000"/>
            </w:tcBorders>
            <w:hideMark/>
          </w:tcPr>
          <w:p w14:paraId="42E00920" w14:textId="77777777" w:rsidR="006A7E7F" w:rsidRPr="006A7E7F" w:rsidRDefault="006A7E7F" w:rsidP="006A7E7F">
            <w:pPr>
              <w:spacing w:after="0"/>
              <w:rPr>
                <w:rFonts w:ascii="Arial Narrow" w:hAnsi="Arial Narrow"/>
                <w:sz w:val="22"/>
                <w:szCs w:val="22"/>
                <w:lang w:val="en-US"/>
              </w:rPr>
            </w:pPr>
            <w:r w:rsidRPr="006A7E7F">
              <w:rPr>
                <w:rFonts w:ascii="Arial Narrow" w:hAnsi="Arial Narrow"/>
                <w:sz w:val="22"/>
                <w:szCs w:val="22"/>
                <w:lang w:val="en-US"/>
              </w:rPr>
              <w:t>[</w:t>
            </w:r>
            <w:r w:rsidRPr="006A7E7F">
              <w:rPr>
                <w:rFonts w:ascii="Arial Narrow" w:hAnsi="Arial Narrow"/>
                <w:sz w:val="22"/>
                <w:szCs w:val="22"/>
                <w:highlight w:val="yellow"/>
                <w:lang w:val="en-US"/>
              </w:rPr>
              <w:t xml:space="preserve">nein </w:t>
            </w:r>
            <w:proofErr w:type="spellStart"/>
            <w:r w:rsidRPr="006A7E7F">
              <w:rPr>
                <w:rFonts w:ascii="Arial Narrow" w:hAnsi="Arial Narrow"/>
                <w:sz w:val="22"/>
                <w:szCs w:val="22"/>
                <w:highlight w:val="yellow"/>
                <w:lang w:val="en-US"/>
              </w:rPr>
              <w:t>ankreuzen</w:t>
            </w:r>
            <w:proofErr w:type="spellEnd"/>
            <w:r w:rsidRPr="006A7E7F">
              <w:rPr>
                <w:rFonts w:ascii="Arial Narrow" w:hAnsi="Arial Narrow"/>
                <w:sz w:val="22"/>
                <w:szCs w:val="22"/>
                <w:highlight w:val="yellow"/>
                <w:lang w:val="en-US"/>
              </w:rPr>
              <w:t>]</w:t>
            </w:r>
          </w:p>
        </w:tc>
      </w:tr>
    </w:tbl>
    <w:p w14:paraId="2DCB51D4"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14D429F0" w14:textId="77777777" w:rsidTr="006A7E7F">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6C0EF4D9" w14:textId="40972B44"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Wurde für diese angefragte Untersuchungs- und Behandlungsmethode von Ihrem Krankenhaus bereits vor dem 01.01.202</w:t>
            </w:r>
            <w:r w:rsidR="009E6C3A">
              <w:rPr>
                <w:rFonts w:ascii="Arial Narrow" w:hAnsi="Arial Narrow"/>
                <w:b/>
                <w:sz w:val="22"/>
                <w:szCs w:val="22"/>
              </w:rPr>
              <w:t>5</w:t>
            </w:r>
            <w:r w:rsidRPr="006A7E7F">
              <w:rPr>
                <w:rFonts w:ascii="Arial Narrow" w:hAnsi="Arial Narrow"/>
                <w:b/>
                <w:sz w:val="22"/>
                <w:szCs w:val="22"/>
              </w:rPr>
              <w:t xml:space="preserve"> eine Anfrage gemäß §6 Abs. 2 </w:t>
            </w:r>
            <w:proofErr w:type="spellStart"/>
            <w:r w:rsidRPr="006A7E7F">
              <w:rPr>
                <w:rFonts w:ascii="Arial Narrow" w:hAnsi="Arial Narrow"/>
                <w:b/>
                <w:sz w:val="22"/>
                <w:szCs w:val="22"/>
              </w:rPr>
              <w:t>KHEntG</w:t>
            </w:r>
            <w:proofErr w:type="spellEnd"/>
            <w:r w:rsidRPr="006A7E7F">
              <w:rPr>
                <w:rFonts w:ascii="Arial Narrow" w:hAnsi="Arial Narrow"/>
                <w:b/>
                <w:sz w:val="22"/>
                <w:szCs w:val="22"/>
              </w:rPr>
              <w:t xml:space="preserve"> an das </w:t>
            </w:r>
            <w:proofErr w:type="spellStart"/>
            <w:r w:rsidRPr="006A7E7F">
              <w:rPr>
                <w:rFonts w:ascii="Arial Narrow" w:hAnsi="Arial Narrow"/>
                <w:b/>
                <w:sz w:val="22"/>
                <w:szCs w:val="22"/>
              </w:rPr>
              <w:t>InEK</w:t>
            </w:r>
            <w:proofErr w:type="spellEnd"/>
            <w:r w:rsidRPr="006A7E7F">
              <w:rPr>
                <w:rFonts w:ascii="Arial Narrow" w:hAnsi="Arial Narrow"/>
                <w:b/>
                <w:sz w:val="22"/>
                <w:szCs w:val="22"/>
              </w:rPr>
              <w:t xml:space="preserve"> übermittelt?</w:t>
            </w:r>
          </w:p>
        </w:tc>
      </w:tr>
      <w:tr w:rsidR="006A7E7F" w:rsidRPr="000964CF" w14:paraId="48BB4080"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tbl>
            <w:tblPr>
              <w:tblW w:w="9104" w:type="dxa"/>
              <w:tblBorders>
                <w:top w:val="nil"/>
                <w:left w:val="nil"/>
                <w:bottom w:val="nil"/>
                <w:right w:val="nil"/>
              </w:tblBorders>
              <w:tblLayout w:type="fixed"/>
              <w:tblLook w:val="0000" w:firstRow="0" w:lastRow="0" w:firstColumn="0" w:lastColumn="0" w:noHBand="0" w:noVBand="0"/>
            </w:tblPr>
            <w:tblGrid>
              <w:gridCol w:w="9104"/>
            </w:tblGrid>
            <w:tr w:rsidR="009E6C3A" w:rsidRPr="005B423B" w14:paraId="17B6F61B" w14:textId="77777777" w:rsidTr="009E6C3A">
              <w:trPr>
                <w:trHeight w:val="406"/>
              </w:trPr>
              <w:tc>
                <w:tcPr>
                  <w:tcW w:w="9104" w:type="dxa"/>
                </w:tcPr>
                <w:p w14:paraId="075D0C8B" w14:textId="001B4593" w:rsidR="009E6C3A" w:rsidRPr="005B423B" w:rsidRDefault="009E6C3A" w:rsidP="009E6C3A">
                  <w:pPr>
                    <w:pStyle w:val="Default"/>
                    <w:rPr>
                      <w:sz w:val="22"/>
                      <w:szCs w:val="22"/>
                      <w:highlight w:val="yellow"/>
                    </w:rPr>
                  </w:pPr>
                  <w:r w:rsidRPr="005B423B">
                    <w:rPr>
                      <w:sz w:val="22"/>
                      <w:szCs w:val="22"/>
                      <w:highlight w:val="yellow"/>
                    </w:rPr>
                    <w:t>[</w:t>
                  </w:r>
                  <w:r w:rsidR="005B423B" w:rsidRPr="005B423B">
                    <w:rPr>
                      <w:sz w:val="22"/>
                      <w:szCs w:val="22"/>
                      <w:highlight w:val="yellow"/>
                    </w:rPr>
                    <w:t xml:space="preserve">Nein ankreuzen, da Medikament bisher noch nicht beim </w:t>
                  </w:r>
                  <w:proofErr w:type="spellStart"/>
                  <w:r w:rsidR="005B423B" w:rsidRPr="005B423B">
                    <w:rPr>
                      <w:sz w:val="22"/>
                      <w:szCs w:val="22"/>
                      <w:highlight w:val="yellow"/>
                    </w:rPr>
                    <w:t>InEK</w:t>
                  </w:r>
                  <w:proofErr w:type="spellEnd"/>
                  <w:r w:rsidR="005B423B" w:rsidRPr="005B423B">
                    <w:rPr>
                      <w:sz w:val="22"/>
                      <w:szCs w:val="22"/>
                      <w:highlight w:val="yellow"/>
                    </w:rPr>
                    <w:t xml:space="preserve"> angefragt wurde.]</w:t>
                  </w:r>
                </w:p>
              </w:tc>
            </w:tr>
          </w:tbl>
          <w:p w14:paraId="2A598E77" w14:textId="6DA30ABE" w:rsidR="006A7E7F" w:rsidRPr="005B423B" w:rsidRDefault="006A7E7F" w:rsidP="006A7E7F">
            <w:pPr>
              <w:spacing w:after="0"/>
              <w:rPr>
                <w:rFonts w:ascii="Arial Narrow" w:hAnsi="Arial Narrow"/>
                <w:sz w:val="22"/>
                <w:szCs w:val="22"/>
                <w:highlight w:val="yellow"/>
              </w:rPr>
            </w:pPr>
          </w:p>
        </w:tc>
      </w:tr>
    </w:tbl>
    <w:p w14:paraId="52A63D19" w14:textId="77777777" w:rsidR="006A7E7F" w:rsidRPr="000964CF" w:rsidRDefault="006A7E7F" w:rsidP="006A7E7F">
      <w:pPr>
        <w:spacing w:after="0"/>
        <w:rPr>
          <w:rFonts w:ascii="Arial Narrow" w:hAnsi="Arial Narrow"/>
          <w:sz w:val="22"/>
          <w:szCs w:val="22"/>
        </w:rPr>
      </w:pPr>
    </w:p>
    <w:tbl>
      <w:tblPr>
        <w:tblW w:w="921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2169FA0" w14:textId="77777777" w:rsidTr="005B423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710298B" w14:textId="77777777" w:rsidR="006A7E7F" w:rsidRPr="006A7E7F" w:rsidRDefault="006A7E7F" w:rsidP="006A7E7F">
            <w:pPr>
              <w:rPr>
                <w:rFonts w:ascii="Arial Narrow" w:hAnsi="Arial Narrow"/>
                <w:b/>
                <w:sz w:val="22"/>
                <w:szCs w:val="22"/>
                <w:lang w:val="en-US"/>
              </w:rPr>
            </w:pPr>
            <w:proofErr w:type="spellStart"/>
            <w:r w:rsidRPr="006A7E7F">
              <w:rPr>
                <w:rFonts w:ascii="Arial Narrow" w:hAnsi="Arial Narrow"/>
                <w:b/>
                <w:sz w:val="22"/>
                <w:szCs w:val="22"/>
                <w:lang w:val="en-US"/>
              </w:rPr>
              <w:t>Beschreibung</w:t>
            </w:r>
            <w:proofErr w:type="spellEnd"/>
            <w:r w:rsidRPr="006A7E7F">
              <w:rPr>
                <w:rFonts w:ascii="Arial Narrow" w:hAnsi="Arial Narrow"/>
                <w:b/>
                <w:sz w:val="22"/>
                <w:szCs w:val="22"/>
                <w:lang w:val="en-US"/>
              </w:rPr>
              <w:t xml:space="preserve"> der </w:t>
            </w:r>
            <w:proofErr w:type="spellStart"/>
            <w:r w:rsidRPr="006A7E7F">
              <w:rPr>
                <w:rFonts w:ascii="Arial Narrow" w:hAnsi="Arial Narrow"/>
                <w:b/>
                <w:sz w:val="22"/>
                <w:szCs w:val="22"/>
                <w:lang w:val="en-US"/>
              </w:rPr>
              <w:t>neuen</w:t>
            </w:r>
            <w:proofErr w:type="spellEnd"/>
            <w:r w:rsidRPr="006A7E7F">
              <w:rPr>
                <w:rFonts w:ascii="Arial Narrow" w:hAnsi="Arial Narrow"/>
                <w:b/>
                <w:sz w:val="22"/>
                <w:szCs w:val="22"/>
                <w:lang w:val="en-US"/>
              </w:rPr>
              <w:t xml:space="preserve"> </w:t>
            </w:r>
            <w:proofErr w:type="spellStart"/>
            <w:r w:rsidRPr="006A7E7F">
              <w:rPr>
                <w:rFonts w:ascii="Arial Narrow" w:hAnsi="Arial Narrow"/>
                <w:b/>
                <w:sz w:val="22"/>
                <w:szCs w:val="22"/>
                <w:lang w:val="en-US"/>
              </w:rPr>
              <w:t>Methode</w:t>
            </w:r>
            <w:proofErr w:type="spellEnd"/>
          </w:p>
        </w:tc>
      </w:tr>
      <w:tr w:rsidR="003151FB" w:rsidRPr="006A7E7F" w14:paraId="69AAD5E9" w14:textId="77777777" w:rsidTr="005B423B">
        <w:trPr>
          <w:trHeight w:val="251"/>
        </w:trPr>
        <w:tc>
          <w:tcPr>
            <w:tcW w:w="9215" w:type="dxa"/>
            <w:tcBorders>
              <w:top w:val="single" w:sz="4" w:space="0" w:color="000000"/>
              <w:left w:val="single" w:sz="4" w:space="0" w:color="000000"/>
              <w:bottom w:val="single" w:sz="4" w:space="0" w:color="000000"/>
              <w:right w:val="single" w:sz="4" w:space="0" w:color="000000"/>
            </w:tcBorders>
          </w:tcPr>
          <w:p w14:paraId="356F1251" w14:textId="77777777" w:rsidR="005B423B" w:rsidRPr="005B423B" w:rsidRDefault="005B423B" w:rsidP="005B423B">
            <w:pPr>
              <w:rPr>
                <w:rFonts w:ascii="Arial Narrow" w:hAnsi="Arial Narrow"/>
                <w:b/>
                <w:sz w:val="22"/>
                <w:szCs w:val="22"/>
              </w:rPr>
            </w:pPr>
            <w:r w:rsidRPr="005B423B">
              <w:rPr>
                <w:rFonts w:ascii="Arial Narrow" w:hAnsi="Arial Narrow"/>
                <w:b/>
                <w:sz w:val="22"/>
                <w:szCs w:val="22"/>
              </w:rPr>
              <w:t>Wirkweise:</w:t>
            </w:r>
          </w:p>
          <w:p w14:paraId="2DCD09BF" w14:textId="051813CD" w:rsidR="00D62803" w:rsidRDefault="00D62803" w:rsidP="00D62803">
            <w:pPr>
              <w:rPr>
                <w:rFonts w:ascii="Arial Narrow" w:hAnsi="Arial Narrow"/>
                <w:bCs/>
                <w:sz w:val="22"/>
                <w:szCs w:val="22"/>
              </w:rPr>
            </w:pPr>
            <w:proofErr w:type="spellStart"/>
            <w:r w:rsidRPr="00D62803">
              <w:rPr>
                <w:rFonts w:ascii="Arial Narrow" w:hAnsi="Arial Narrow"/>
                <w:bCs/>
                <w:sz w:val="22"/>
                <w:szCs w:val="22"/>
              </w:rPr>
              <w:t>Marstacimab</w:t>
            </w:r>
            <w:proofErr w:type="spellEnd"/>
            <w:r w:rsidRPr="00D62803">
              <w:rPr>
                <w:rFonts w:ascii="Arial Narrow" w:hAnsi="Arial Narrow"/>
                <w:bCs/>
                <w:sz w:val="22"/>
                <w:szCs w:val="22"/>
              </w:rPr>
              <w:t xml:space="preserve"> ist ein humaner </w:t>
            </w:r>
            <w:proofErr w:type="spellStart"/>
            <w:r w:rsidRPr="00D62803">
              <w:rPr>
                <w:rFonts w:ascii="Arial Narrow" w:hAnsi="Arial Narrow"/>
                <w:bCs/>
                <w:sz w:val="22"/>
                <w:szCs w:val="22"/>
              </w:rPr>
              <w:t>monoklonaler</w:t>
            </w:r>
            <w:proofErr w:type="spellEnd"/>
            <w:r w:rsidRPr="00D62803">
              <w:rPr>
                <w:rFonts w:ascii="Arial Narrow" w:hAnsi="Arial Narrow"/>
                <w:bCs/>
                <w:sz w:val="22"/>
                <w:szCs w:val="22"/>
              </w:rPr>
              <w:t xml:space="preserve"> IgG1-Antikörper, der gegen die </w:t>
            </w:r>
            <w:proofErr w:type="spellStart"/>
            <w:r w:rsidRPr="00D62803">
              <w:rPr>
                <w:rFonts w:ascii="Arial Narrow" w:hAnsi="Arial Narrow"/>
                <w:bCs/>
                <w:sz w:val="22"/>
                <w:szCs w:val="22"/>
              </w:rPr>
              <w:t>Kunitz</w:t>
            </w:r>
            <w:proofErr w:type="spellEnd"/>
            <w:r w:rsidRPr="00D62803">
              <w:rPr>
                <w:rFonts w:ascii="Arial Narrow" w:hAnsi="Arial Narrow"/>
                <w:bCs/>
                <w:sz w:val="22"/>
                <w:szCs w:val="22"/>
              </w:rPr>
              <w:t xml:space="preserve">-Domäne 2 (K2) vom </w:t>
            </w:r>
            <w:proofErr w:type="spellStart"/>
            <w:r w:rsidRPr="00D62803">
              <w:rPr>
                <w:rFonts w:ascii="Arial Narrow" w:hAnsi="Arial Narrow"/>
                <w:bCs/>
                <w:sz w:val="22"/>
                <w:szCs w:val="22"/>
              </w:rPr>
              <w:t>Tissue</w:t>
            </w:r>
            <w:proofErr w:type="spellEnd"/>
            <w:r w:rsidRPr="00D62803">
              <w:rPr>
                <w:rFonts w:ascii="Arial Narrow" w:hAnsi="Arial Narrow"/>
                <w:bCs/>
                <w:sz w:val="22"/>
                <w:szCs w:val="22"/>
              </w:rPr>
              <w:t xml:space="preserve"> </w:t>
            </w:r>
            <w:proofErr w:type="spellStart"/>
            <w:r w:rsidRPr="00D62803">
              <w:rPr>
                <w:rFonts w:ascii="Arial Narrow" w:hAnsi="Arial Narrow"/>
                <w:bCs/>
                <w:sz w:val="22"/>
                <w:szCs w:val="22"/>
              </w:rPr>
              <w:t>Factor</w:t>
            </w:r>
            <w:proofErr w:type="spellEnd"/>
            <w:r w:rsidRPr="00D62803">
              <w:rPr>
                <w:rFonts w:ascii="Arial Narrow" w:hAnsi="Arial Narrow"/>
                <w:bCs/>
                <w:sz w:val="22"/>
                <w:szCs w:val="22"/>
              </w:rPr>
              <w:t xml:space="preserve"> </w:t>
            </w:r>
            <w:proofErr w:type="spellStart"/>
            <w:r w:rsidRPr="00D62803">
              <w:rPr>
                <w:rFonts w:ascii="Arial Narrow" w:hAnsi="Arial Narrow"/>
                <w:bCs/>
                <w:sz w:val="22"/>
                <w:szCs w:val="22"/>
              </w:rPr>
              <w:t>Pathway</w:t>
            </w:r>
            <w:proofErr w:type="spellEnd"/>
            <w:r w:rsidRPr="00D62803">
              <w:rPr>
                <w:rFonts w:ascii="Arial Narrow" w:hAnsi="Arial Narrow"/>
                <w:bCs/>
                <w:sz w:val="22"/>
                <w:szCs w:val="22"/>
              </w:rPr>
              <w:t xml:space="preserve"> Inhibitor (TFPI), dem primären Inhibitor der extrinsischen Gerinnungskaskade, gerichtet ist. TFPI bindet zu Beginn an Faktor </w:t>
            </w:r>
            <w:proofErr w:type="spellStart"/>
            <w:r w:rsidRPr="00D62803">
              <w:rPr>
                <w:rFonts w:ascii="Arial Narrow" w:hAnsi="Arial Narrow"/>
                <w:bCs/>
                <w:sz w:val="22"/>
                <w:szCs w:val="22"/>
              </w:rPr>
              <w:t>Xa</w:t>
            </w:r>
            <w:proofErr w:type="spellEnd"/>
            <w:r w:rsidRPr="00D62803">
              <w:rPr>
                <w:rFonts w:ascii="Arial Narrow" w:hAnsi="Arial Narrow"/>
                <w:bCs/>
                <w:sz w:val="22"/>
                <w:szCs w:val="22"/>
              </w:rPr>
              <w:t xml:space="preserve"> und hemmt dessen aktives Zentrum über seine zweite </w:t>
            </w:r>
            <w:proofErr w:type="spellStart"/>
            <w:r w:rsidRPr="00D62803">
              <w:rPr>
                <w:rFonts w:ascii="Arial Narrow" w:hAnsi="Arial Narrow"/>
                <w:bCs/>
                <w:sz w:val="22"/>
                <w:szCs w:val="22"/>
              </w:rPr>
              <w:t>Kunitz-Inhibitordomäne</w:t>
            </w:r>
            <w:proofErr w:type="spellEnd"/>
            <w:r w:rsidRPr="00D62803">
              <w:rPr>
                <w:rFonts w:ascii="Arial Narrow" w:hAnsi="Arial Narrow"/>
                <w:bCs/>
                <w:sz w:val="22"/>
                <w:szCs w:val="22"/>
              </w:rPr>
              <w:t xml:space="preserve">(K2). Die Wirkung von </w:t>
            </w:r>
            <w:proofErr w:type="spellStart"/>
            <w:r w:rsidRPr="00D62803">
              <w:rPr>
                <w:rFonts w:ascii="Arial Narrow" w:hAnsi="Arial Narrow"/>
                <w:bCs/>
                <w:sz w:val="22"/>
                <w:szCs w:val="22"/>
              </w:rPr>
              <w:t>Marstacimab</w:t>
            </w:r>
            <w:proofErr w:type="spellEnd"/>
            <w:r w:rsidRPr="00D62803">
              <w:rPr>
                <w:rFonts w:ascii="Arial Narrow" w:hAnsi="Arial Narrow"/>
                <w:bCs/>
                <w:sz w:val="22"/>
                <w:szCs w:val="22"/>
              </w:rPr>
              <w:t xml:space="preserve"> zur Neutralisierung der </w:t>
            </w:r>
            <w:proofErr w:type="spellStart"/>
            <w:r w:rsidRPr="00D62803">
              <w:rPr>
                <w:rFonts w:ascii="Arial Narrow" w:hAnsi="Arial Narrow"/>
                <w:bCs/>
                <w:sz w:val="22"/>
                <w:szCs w:val="22"/>
              </w:rPr>
              <w:t>inhibitorischen</w:t>
            </w:r>
            <w:proofErr w:type="spellEnd"/>
            <w:r w:rsidRPr="00D62803">
              <w:rPr>
                <w:rFonts w:ascii="Arial Narrow" w:hAnsi="Arial Narrow"/>
                <w:bCs/>
                <w:sz w:val="22"/>
                <w:szCs w:val="22"/>
              </w:rPr>
              <w:t xml:space="preserve"> Aktivität von TFPI kann dazu dienen, den extrinsischen Weg zu verstärken und Defizite im intrinsischen Gerinnungsweg zu umgehen, indem die Verfügbarkeit von freiem Faktor </w:t>
            </w:r>
            <w:proofErr w:type="spellStart"/>
            <w:r w:rsidRPr="00D62803">
              <w:rPr>
                <w:rFonts w:ascii="Arial Narrow" w:hAnsi="Arial Narrow"/>
                <w:bCs/>
                <w:sz w:val="22"/>
                <w:szCs w:val="22"/>
              </w:rPr>
              <w:t>Xa</w:t>
            </w:r>
            <w:proofErr w:type="spellEnd"/>
            <w:r w:rsidRPr="00D62803">
              <w:rPr>
                <w:rFonts w:ascii="Arial Narrow" w:hAnsi="Arial Narrow"/>
                <w:bCs/>
                <w:sz w:val="22"/>
                <w:szCs w:val="22"/>
              </w:rPr>
              <w:t xml:space="preserve"> erhöht wird, um die </w:t>
            </w:r>
            <w:proofErr w:type="spellStart"/>
            <w:r w:rsidRPr="00D62803">
              <w:rPr>
                <w:rFonts w:ascii="Arial Narrow" w:hAnsi="Arial Narrow"/>
                <w:bCs/>
                <w:sz w:val="22"/>
                <w:szCs w:val="22"/>
              </w:rPr>
              <w:t>Thrombinbildung</w:t>
            </w:r>
            <w:proofErr w:type="spellEnd"/>
            <w:r w:rsidRPr="00D62803">
              <w:rPr>
                <w:rFonts w:ascii="Arial Narrow" w:hAnsi="Arial Narrow"/>
                <w:bCs/>
                <w:sz w:val="22"/>
                <w:szCs w:val="22"/>
              </w:rPr>
              <w:t xml:space="preserve"> zu steigern und die Hämostase zu verstärken. (Fachinformation </w:t>
            </w:r>
            <w:proofErr w:type="spellStart"/>
            <w:r w:rsidRPr="00D62803">
              <w:rPr>
                <w:rFonts w:ascii="Arial Narrow" w:hAnsi="Arial Narrow"/>
                <w:bCs/>
                <w:sz w:val="22"/>
                <w:szCs w:val="22"/>
              </w:rPr>
              <w:t>Hympavzi</w:t>
            </w:r>
            <w:proofErr w:type="spellEnd"/>
            <w:r w:rsidRPr="00D62803">
              <w:rPr>
                <w:rFonts w:ascii="Arial Narrow" w:hAnsi="Arial Narrow"/>
                <w:bCs/>
                <w:sz w:val="22"/>
                <w:szCs w:val="22"/>
              </w:rPr>
              <w:t>, Stand April 2025)</w:t>
            </w:r>
          </w:p>
          <w:p w14:paraId="0BFE6474" w14:textId="5CBF3124" w:rsidR="005B423B" w:rsidRPr="005B423B" w:rsidRDefault="005B423B" w:rsidP="00D62803">
            <w:pPr>
              <w:rPr>
                <w:rFonts w:ascii="Arial Narrow" w:hAnsi="Arial Narrow"/>
                <w:bCs/>
                <w:sz w:val="22"/>
                <w:szCs w:val="22"/>
              </w:rPr>
            </w:pPr>
            <w:r w:rsidRPr="005B423B">
              <w:rPr>
                <w:rFonts w:ascii="Arial Narrow" w:hAnsi="Arial Narrow"/>
                <w:b/>
                <w:sz w:val="22"/>
                <w:szCs w:val="22"/>
              </w:rPr>
              <w:t>Evidenzlage</w:t>
            </w:r>
            <w:r w:rsidRPr="005B423B">
              <w:rPr>
                <w:rFonts w:ascii="Arial Narrow" w:hAnsi="Arial Narrow"/>
                <w:bCs/>
                <w:sz w:val="22"/>
                <w:szCs w:val="22"/>
              </w:rPr>
              <w:t>:</w:t>
            </w:r>
          </w:p>
          <w:p w14:paraId="45EA9734" w14:textId="2A5C0696" w:rsidR="00D62803" w:rsidRDefault="00D62803" w:rsidP="00D62803">
            <w:pPr>
              <w:rPr>
                <w:rFonts w:ascii="Arial Narrow" w:hAnsi="Arial Narrow"/>
                <w:bCs/>
                <w:sz w:val="22"/>
                <w:szCs w:val="22"/>
              </w:rPr>
            </w:pPr>
            <w:r w:rsidRPr="00D62803">
              <w:rPr>
                <w:rFonts w:ascii="Arial Narrow" w:hAnsi="Arial Narrow"/>
                <w:bCs/>
                <w:sz w:val="22"/>
                <w:szCs w:val="22"/>
              </w:rPr>
              <w:t xml:space="preserve">In einer Phase-III-Studie zeigte die Verwendung von </w:t>
            </w:r>
            <w:proofErr w:type="spellStart"/>
            <w:r w:rsidRPr="00D62803">
              <w:rPr>
                <w:rFonts w:ascii="Arial Narrow" w:hAnsi="Arial Narrow"/>
                <w:bCs/>
                <w:sz w:val="22"/>
                <w:szCs w:val="22"/>
              </w:rPr>
              <w:t>Marstacimab</w:t>
            </w:r>
            <w:proofErr w:type="spellEnd"/>
            <w:r w:rsidRPr="00D62803">
              <w:rPr>
                <w:rFonts w:ascii="Arial Narrow" w:hAnsi="Arial Narrow"/>
                <w:bCs/>
                <w:sz w:val="22"/>
                <w:szCs w:val="22"/>
              </w:rPr>
              <w:t xml:space="preserve"> in der Hämophilie A und in der Hämophilie B eine ähnlich gute Wirksamkeit wie FVIII- bzw. FIX-Ersatzprodukte. In einer </w:t>
            </w:r>
            <w:proofErr w:type="spellStart"/>
            <w:r w:rsidRPr="00D62803">
              <w:rPr>
                <w:rFonts w:ascii="Arial Narrow" w:hAnsi="Arial Narrow"/>
                <w:bCs/>
                <w:sz w:val="22"/>
                <w:szCs w:val="22"/>
              </w:rPr>
              <w:t>pivotalen</w:t>
            </w:r>
            <w:proofErr w:type="spellEnd"/>
            <w:r w:rsidRPr="00D62803">
              <w:rPr>
                <w:rFonts w:ascii="Arial Narrow" w:hAnsi="Arial Narrow"/>
                <w:bCs/>
                <w:sz w:val="22"/>
                <w:szCs w:val="22"/>
              </w:rPr>
              <w:t xml:space="preserve"> Phase-3-Studie war </w:t>
            </w:r>
            <w:proofErr w:type="spellStart"/>
            <w:r w:rsidRPr="00D62803">
              <w:rPr>
                <w:rFonts w:ascii="Arial Narrow" w:hAnsi="Arial Narrow"/>
                <w:bCs/>
                <w:sz w:val="22"/>
                <w:szCs w:val="22"/>
              </w:rPr>
              <w:t>Marstacimab</w:t>
            </w:r>
            <w:proofErr w:type="spellEnd"/>
            <w:r w:rsidRPr="00D62803">
              <w:rPr>
                <w:rFonts w:ascii="Arial Narrow" w:hAnsi="Arial Narrow"/>
                <w:bCs/>
                <w:sz w:val="22"/>
                <w:szCs w:val="22"/>
              </w:rPr>
              <w:t xml:space="preserve"> bei Jugendlichen und Erwachsenen mit schwerer Hämophilie A oder B ohne Inhibitoren mindestens ebenso wirksam wie eine routinemäßige Prophylaxe mit Faktor-VIII- bzw. Faktor-IX-Konzentraten. Die Studie umfasste 83 Patienten, die zuvor eine prophylaktische Substitutionstherapie erhalten hatten. Unter </w:t>
            </w:r>
            <w:proofErr w:type="spellStart"/>
            <w:r w:rsidRPr="00D62803">
              <w:rPr>
                <w:rFonts w:ascii="Arial Narrow" w:hAnsi="Arial Narrow"/>
                <w:bCs/>
                <w:sz w:val="22"/>
                <w:szCs w:val="22"/>
              </w:rPr>
              <w:t>Marstacimab</w:t>
            </w:r>
            <w:proofErr w:type="spellEnd"/>
            <w:r w:rsidRPr="00D62803">
              <w:rPr>
                <w:rFonts w:ascii="Arial Narrow" w:hAnsi="Arial Narrow"/>
                <w:bCs/>
                <w:sz w:val="22"/>
                <w:szCs w:val="22"/>
              </w:rPr>
              <w:t xml:space="preserve"> sank die </w:t>
            </w:r>
            <w:proofErr w:type="spellStart"/>
            <w:r w:rsidRPr="00D62803">
              <w:rPr>
                <w:rFonts w:ascii="Arial Narrow" w:hAnsi="Arial Narrow"/>
                <w:bCs/>
                <w:sz w:val="22"/>
                <w:szCs w:val="22"/>
              </w:rPr>
              <w:t>annualisierte</w:t>
            </w:r>
            <w:proofErr w:type="spellEnd"/>
            <w:r w:rsidRPr="00D62803">
              <w:rPr>
                <w:rFonts w:ascii="Arial Narrow" w:hAnsi="Arial Narrow"/>
                <w:bCs/>
                <w:sz w:val="22"/>
                <w:szCs w:val="22"/>
              </w:rPr>
              <w:t xml:space="preserve"> Blutungsrate (ABR) bei zuvor prophylaktisch behandelten Patienten im Mittel von 7,85 auf 5,08 </w:t>
            </w:r>
            <w:proofErr w:type="spellStart"/>
            <w:r w:rsidRPr="00D62803">
              <w:rPr>
                <w:rFonts w:ascii="Arial Narrow" w:hAnsi="Arial Narrow"/>
                <w:bCs/>
                <w:sz w:val="22"/>
                <w:szCs w:val="22"/>
              </w:rPr>
              <w:t>behandlungsbedürftige</w:t>
            </w:r>
            <w:proofErr w:type="spellEnd"/>
            <w:r w:rsidRPr="00D62803">
              <w:rPr>
                <w:rFonts w:ascii="Arial Narrow" w:hAnsi="Arial Narrow"/>
                <w:bCs/>
                <w:sz w:val="22"/>
                <w:szCs w:val="22"/>
              </w:rPr>
              <w:t xml:space="preserve"> Blutungen pro Jahr. (EMA, EPAR </w:t>
            </w:r>
            <w:proofErr w:type="spellStart"/>
            <w:r w:rsidRPr="00D62803">
              <w:rPr>
                <w:rFonts w:ascii="Arial Narrow" w:hAnsi="Arial Narrow"/>
                <w:bCs/>
                <w:sz w:val="22"/>
                <w:szCs w:val="22"/>
              </w:rPr>
              <w:t>Hympavzi</w:t>
            </w:r>
            <w:proofErr w:type="spellEnd"/>
            <w:r w:rsidRPr="00D62803">
              <w:rPr>
                <w:rFonts w:ascii="Arial Narrow" w:hAnsi="Arial Narrow"/>
                <w:bCs/>
                <w:sz w:val="22"/>
                <w:szCs w:val="22"/>
              </w:rPr>
              <w:t xml:space="preserve">, Stand Juni 2025). Die </w:t>
            </w:r>
            <w:r w:rsidRPr="00D62803">
              <w:rPr>
                <w:rFonts w:ascii="Arial Narrow" w:hAnsi="Arial Narrow"/>
                <w:bCs/>
                <w:sz w:val="22"/>
                <w:szCs w:val="22"/>
              </w:rPr>
              <w:lastRenderedPageBreak/>
              <w:t>langfristige Wirksamkeit und Sicherheit wird in einer offenen Langzeit</w:t>
            </w:r>
            <w:r>
              <w:rPr>
                <w:rFonts w:ascii="Arial Narrow" w:hAnsi="Arial Narrow"/>
                <w:bCs/>
                <w:sz w:val="22"/>
                <w:szCs w:val="22"/>
              </w:rPr>
              <w:t>beobachtungsstudie weiter untersucht (ClinicalTrials.gov Identifier: NCT06992076)</w:t>
            </w:r>
          </w:p>
          <w:p w14:paraId="5BA9D4E9" w14:textId="77777777" w:rsidR="005B423B" w:rsidRPr="005B423B" w:rsidRDefault="005B423B" w:rsidP="005B423B">
            <w:pPr>
              <w:rPr>
                <w:rFonts w:ascii="Arial Narrow" w:hAnsi="Arial Narrow"/>
                <w:bCs/>
                <w:sz w:val="22"/>
                <w:szCs w:val="22"/>
                <w:u w:val="single"/>
              </w:rPr>
            </w:pPr>
            <w:r w:rsidRPr="005B423B">
              <w:rPr>
                <w:rFonts w:ascii="Arial Narrow" w:hAnsi="Arial Narrow"/>
                <w:bCs/>
                <w:sz w:val="22"/>
                <w:szCs w:val="22"/>
                <w:u w:val="single"/>
              </w:rPr>
              <w:t>Dosierung:</w:t>
            </w:r>
          </w:p>
          <w:p w14:paraId="0CA67A34" w14:textId="3C2E2D5E" w:rsidR="003151FB" w:rsidRPr="005B423B" w:rsidRDefault="00D62803" w:rsidP="00D62803">
            <w:pPr>
              <w:rPr>
                <w:rFonts w:ascii="Arial Narrow" w:hAnsi="Arial Narrow"/>
                <w:bCs/>
                <w:sz w:val="22"/>
                <w:szCs w:val="22"/>
              </w:rPr>
            </w:pPr>
            <w:r w:rsidRPr="00D62803">
              <w:rPr>
                <w:rFonts w:ascii="Arial Narrow" w:hAnsi="Arial Narrow"/>
                <w:bCs/>
                <w:sz w:val="22"/>
                <w:szCs w:val="22"/>
              </w:rPr>
              <w:t>Die empfohlene Dosis für Patienten ab einem Alter von 12 Jahren mit einem Körpergewicht von mindestens 35kg ist eine einmalige Initialdosis von 300 mg, gefolgt von 150 mg einmal wöchentlich, jeweils verabreicht als subkutane Injektion zu einer beliebigen Tageszeit.</w:t>
            </w:r>
            <w:r>
              <w:rPr>
                <w:rFonts w:ascii="Arial Narrow" w:hAnsi="Arial Narrow"/>
                <w:bCs/>
                <w:sz w:val="22"/>
                <w:szCs w:val="22"/>
              </w:rPr>
              <w:t xml:space="preserve"> </w:t>
            </w:r>
            <w:r w:rsidRPr="00D62803">
              <w:rPr>
                <w:rFonts w:ascii="Arial Narrow" w:hAnsi="Arial Narrow"/>
                <w:bCs/>
                <w:sz w:val="22"/>
                <w:szCs w:val="22"/>
              </w:rPr>
              <w:t>Dosisanpassungen während der Behandlung</w:t>
            </w:r>
            <w:r>
              <w:rPr>
                <w:rFonts w:ascii="Arial Narrow" w:hAnsi="Arial Narrow"/>
                <w:bCs/>
                <w:sz w:val="22"/>
                <w:szCs w:val="22"/>
              </w:rPr>
              <w:t xml:space="preserve"> </w:t>
            </w:r>
            <w:r w:rsidRPr="00D62803">
              <w:rPr>
                <w:rFonts w:ascii="Arial Narrow" w:hAnsi="Arial Narrow"/>
                <w:bCs/>
                <w:sz w:val="22"/>
                <w:szCs w:val="22"/>
              </w:rPr>
              <w:t>Bei Patienten mit einem Körpergewicht ≥50 kg kann eine Erhöhung der wöchentlichen Dosis auf 300 mg in</w:t>
            </w:r>
            <w:r>
              <w:rPr>
                <w:rFonts w:ascii="Arial Narrow" w:hAnsi="Arial Narrow"/>
                <w:bCs/>
                <w:sz w:val="22"/>
                <w:szCs w:val="22"/>
              </w:rPr>
              <w:t xml:space="preserve"> </w:t>
            </w:r>
            <w:r w:rsidRPr="00D62803">
              <w:rPr>
                <w:rFonts w:ascii="Arial Narrow" w:hAnsi="Arial Narrow"/>
                <w:bCs/>
                <w:sz w:val="22"/>
                <w:szCs w:val="22"/>
              </w:rPr>
              <w:t xml:space="preserve">Betracht gezogen werden, wenn die Kontrolle der Blutungsereignisse vom behandelnden Arzt als unzureichend beurteilt wird. (Fachinformation </w:t>
            </w:r>
            <w:proofErr w:type="spellStart"/>
            <w:r w:rsidRPr="00D62803">
              <w:rPr>
                <w:rFonts w:ascii="Arial Narrow" w:hAnsi="Arial Narrow"/>
                <w:bCs/>
                <w:sz w:val="22"/>
                <w:szCs w:val="22"/>
              </w:rPr>
              <w:t>Hympavzi</w:t>
            </w:r>
            <w:proofErr w:type="spellEnd"/>
            <w:r w:rsidRPr="00D62803">
              <w:rPr>
                <w:rFonts w:ascii="Arial Narrow" w:hAnsi="Arial Narrow"/>
                <w:bCs/>
                <w:sz w:val="22"/>
                <w:szCs w:val="22"/>
              </w:rPr>
              <w:t>, Stand April 2025)</w:t>
            </w:r>
          </w:p>
        </w:tc>
      </w:tr>
    </w:tbl>
    <w:p w14:paraId="5B5DCF36" w14:textId="77777777" w:rsidR="006A7E7F" w:rsidRPr="003151FB" w:rsidRDefault="006A7E7F"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BA94D0F"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B89AC71"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Mit welchem OPS wird die Methode verschlüsselt?</w:t>
            </w:r>
          </w:p>
        </w:tc>
      </w:tr>
      <w:tr w:rsidR="003151FB" w:rsidRPr="003151FB" w14:paraId="53AF0DF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8FE0267" w14:textId="4700A89A" w:rsidR="003151FB" w:rsidRPr="005B423B" w:rsidRDefault="005B423B" w:rsidP="003151FB">
            <w:pPr>
              <w:spacing w:after="0"/>
              <w:rPr>
                <w:rFonts w:ascii="Arial Narrow" w:hAnsi="Arial Narrow"/>
                <w:sz w:val="22"/>
                <w:szCs w:val="22"/>
                <w:highlight w:val="yellow"/>
              </w:rPr>
            </w:pPr>
            <w:r w:rsidRPr="005B423B">
              <w:rPr>
                <w:rFonts w:ascii="Arial Narrow" w:hAnsi="Arial Narrow"/>
                <w:sz w:val="22"/>
                <w:szCs w:val="22"/>
                <w:highlight w:val="yellow"/>
              </w:rPr>
              <w:t xml:space="preserve">[Bitte ankreuzen: Derzeit sind keine </w:t>
            </w:r>
            <w:proofErr w:type="spellStart"/>
            <w:r w:rsidRPr="005B423B">
              <w:rPr>
                <w:rFonts w:ascii="Arial Narrow" w:hAnsi="Arial Narrow"/>
                <w:sz w:val="22"/>
                <w:szCs w:val="22"/>
                <w:highlight w:val="yellow"/>
              </w:rPr>
              <w:t>Prozedurencodes</w:t>
            </w:r>
            <w:proofErr w:type="spellEnd"/>
            <w:r w:rsidRPr="005B423B">
              <w:rPr>
                <w:rFonts w:ascii="Arial Narrow" w:hAnsi="Arial Narrow"/>
                <w:sz w:val="22"/>
                <w:szCs w:val="22"/>
                <w:highlight w:val="yellow"/>
              </w:rPr>
              <w:t xml:space="preserve"> (OPS) verfügbar.]</w:t>
            </w:r>
          </w:p>
        </w:tc>
      </w:tr>
    </w:tbl>
    <w:p w14:paraId="7DB7DA27"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522AA8E2"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1138FC10" w14:textId="77777777" w:rsidR="003151FB" w:rsidRPr="003151FB" w:rsidRDefault="003151FB" w:rsidP="003151FB">
            <w:pPr>
              <w:spacing w:after="0"/>
              <w:rPr>
                <w:rFonts w:ascii="Arial Narrow" w:hAnsi="Arial Narrow"/>
                <w:b/>
                <w:sz w:val="22"/>
                <w:szCs w:val="22"/>
                <w:lang w:val="en-US"/>
              </w:rPr>
            </w:pPr>
            <w:proofErr w:type="spellStart"/>
            <w:r w:rsidRPr="003151FB">
              <w:rPr>
                <w:rFonts w:ascii="Arial Narrow" w:hAnsi="Arial Narrow"/>
                <w:b/>
                <w:sz w:val="22"/>
                <w:szCs w:val="22"/>
                <w:lang w:val="en-US"/>
              </w:rPr>
              <w:t>Anmerkungen</w:t>
            </w:r>
            <w:proofErr w:type="spellEnd"/>
            <w:r w:rsidRPr="003151FB">
              <w:rPr>
                <w:rFonts w:ascii="Arial Narrow" w:hAnsi="Arial Narrow"/>
                <w:b/>
                <w:sz w:val="22"/>
                <w:szCs w:val="22"/>
                <w:lang w:val="en-US"/>
              </w:rPr>
              <w:t xml:space="preserve"> </w:t>
            </w:r>
            <w:proofErr w:type="spellStart"/>
            <w:r w:rsidRPr="003151FB">
              <w:rPr>
                <w:rFonts w:ascii="Arial Narrow" w:hAnsi="Arial Narrow"/>
                <w:b/>
                <w:sz w:val="22"/>
                <w:szCs w:val="22"/>
                <w:lang w:val="en-US"/>
              </w:rPr>
              <w:t>zu</w:t>
            </w:r>
            <w:proofErr w:type="spellEnd"/>
            <w:r w:rsidRPr="003151FB">
              <w:rPr>
                <w:rFonts w:ascii="Arial Narrow" w:hAnsi="Arial Narrow"/>
                <w:b/>
                <w:sz w:val="22"/>
                <w:szCs w:val="22"/>
                <w:lang w:val="en-US"/>
              </w:rPr>
              <w:t xml:space="preserve"> den </w:t>
            </w:r>
            <w:proofErr w:type="spellStart"/>
            <w:r w:rsidRPr="003151FB">
              <w:rPr>
                <w:rFonts w:ascii="Arial Narrow" w:hAnsi="Arial Narrow"/>
                <w:b/>
                <w:sz w:val="22"/>
                <w:szCs w:val="22"/>
                <w:lang w:val="en-US"/>
              </w:rPr>
              <w:t>Prozeduren</w:t>
            </w:r>
            <w:proofErr w:type="spellEnd"/>
          </w:p>
        </w:tc>
      </w:tr>
      <w:tr w:rsidR="003151FB" w:rsidRPr="003151FB" w14:paraId="46C1D0BA"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99DD359" w14:textId="7009DFA7" w:rsidR="003151FB" w:rsidRPr="003151FB" w:rsidRDefault="00D62803" w:rsidP="003151FB">
            <w:pPr>
              <w:spacing w:after="0"/>
              <w:rPr>
                <w:rFonts w:ascii="Arial Narrow" w:hAnsi="Arial Narrow"/>
                <w:sz w:val="22"/>
                <w:szCs w:val="22"/>
              </w:rPr>
            </w:pPr>
            <w:r w:rsidRPr="00D62803">
              <w:rPr>
                <w:rFonts w:ascii="Arial Narrow" w:hAnsi="Arial Narrow"/>
                <w:sz w:val="22"/>
                <w:szCs w:val="22"/>
              </w:rPr>
              <w:t xml:space="preserve">Ergänzend wird für die Gabe eines </w:t>
            </w:r>
            <w:proofErr w:type="spellStart"/>
            <w:r w:rsidRPr="00D62803">
              <w:rPr>
                <w:rFonts w:ascii="Arial Narrow" w:hAnsi="Arial Narrow"/>
                <w:sz w:val="22"/>
                <w:szCs w:val="22"/>
              </w:rPr>
              <w:t>monoklonalen</w:t>
            </w:r>
            <w:proofErr w:type="spellEnd"/>
            <w:r w:rsidRPr="00D62803">
              <w:rPr>
                <w:rFonts w:ascii="Arial Narrow" w:hAnsi="Arial Narrow"/>
                <w:sz w:val="22"/>
                <w:szCs w:val="22"/>
              </w:rPr>
              <w:t xml:space="preserve"> Antikörpers der Kode 8-547.0 verschlüsselt.</w:t>
            </w:r>
          </w:p>
        </w:tc>
      </w:tr>
    </w:tbl>
    <w:p w14:paraId="21A2B885" w14:textId="77777777" w:rsidR="006A7E7F" w:rsidRPr="003151FB" w:rsidRDefault="006A7E7F"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077D2AB"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61D055C8"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Bei welchen Patienten wird die Methode angewandt (Indikation)?</w:t>
            </w:r>
          </w:p>
        </w:tc>
      </w:tr>
      <w:tr w:rsidR="003151FB" w:rsidRPr="003151FB" w14:paraId="6E6E496E" w14:textId="77777777" w:rsidTr="003151FB">
        <w:trPr>
          <w:trHeight w:val="1010"/>
        </w:trPr>
        <w:tc>
          <w:tcPr>
            <w:tcW w:w="9215" w:type="dxa"/>
            <w:tcBorders>
              <w:top w:val="single" w:sz="4" w:space="0" w:color="000000"/>
              <w:left w:val="single" w:sz="4" w:space="0" w:color="000000"/>
              <w:bottom w:val="single" w:sz="4" w:space="0" w:color="000000"/>
              <w:right w:val="single" w:sz="4" w:space="0" w:color="000000"/>
            </w:tcBorders>
            <w:hideMark/>
          </w:tcPr>
          <w:p w14:paraId="73C9EF82" w14:textId="77777777" w:rsidR="00D62803" w:rsidRPr="00D62803" w:rsidRDefault="00D62803" w:rsidP="00D62803">
            <w:pPr>
              <w:spacing w:after="0"/>
              <w:rPr>
                <w:rFonts w:ascii="Arial Narrow" w:hAnsi="Arial Narrow"/>
                <w:sz w:val="22"/>
                <w:szCs w:val="22"/>
              </w:rPr>
            </w:pPr>
            <w:proofErr w:type="spellStart"/>
            <w:r w:rsidRPr="00D62803">
              <w:rPr>
                <w:rFonts w:ascii="Arial Narrow" w:hAnsi="Arial Narrow"/>
                <w:sz w:val="22"/>
                <w:szCs w:val="22"/>
              </w:rPr>
              <w:t>Marstacimab</w:t>
            </w:r>
            <w:proofErr w:type="spellEnd"/>
            <w:r w:rsidRPr="00D62803">
              <w:rPr>
                <w:rFonts w:ascii="Arial Narrow" w:hAnsi="Arial Narrow"/>
                <w:sz w:val="22"/>
                <w:szCs w:val="22"/>
              </w:rPr>
              <w:t xml:space="preserve"> wird angewendet für die Routineprophylaxe von Blutungsepisoden bei Patienten ab einem Alter von </w:t>
            </w:r>
          </w:p>
          <w:p w14:paraId="24F64BF5" w14:textId="77777777" w:rsidR="00D62803" w:rsidRPr="00D62803" w:rsidRDefault="00D62803" w:rsidP="00D62803">
            <w:pPr>
              <w:spacing w:after="0"/>
              <w:rPr>
                <w:rFonts w:ascii="Arial Narrow" w:hAnsi="Arial Narrow"/>
                <w:sz w:val="22"/>
                <w:szCs w:val="22"/>
              </w:rPr>
            </w:pPr>
            <w:r w:rsidRPr="00D62803">
              <w:rPr>
                <w:rFonts w:ascii="Arial Narrow" w:hAnsi="Arial Narrow"/>
                <w:sz w:val="22"/>
                <w:szCs w:val="22"/>
              </w:rPr>
              <w:t>12 Jahren mit einem Körpergewicht von mindestens 35 kg mit:</w:t>
            </w:r>
          </w:p>
          <w:p w14:paraId="17CCC80E" w14:textId="77777777" w:rsidR="00D62803" w:rsidRPr="00D62803" w:rsidRDefault="00D62803" w:rsidP="00D62803">
            <w:pPr>
              <w:spacing w:after="0"/>
              <w:rPr>
                <w:rFonts w:ascii="Arial Narrow" w:hAnsi="Arial Narrow"/>
                <w:sz w:val="22"/>
                <w:szCs w:val="22"/>
              </w:rPr>
            </w:pPr>
            <w:r w:rsidRPr="00D62803">
              <w:rPr>
                <w:rFonts w:ascii="Arial Narrow" w:hAnsi="Arial Narrow"/>
                <w:sz w:val="22"/>
                <w:szCs w:val="22"/>
              </w:rPr>
              <w:t xml:space="preserve">• schwerer Hämophilie A (angeborener Faktor VIII-Mangel, FVIII </w:t>
            </w:r>
            <w:r w:rsidRPr="00D62803">
              <w:rPr>
                <w:rFonts w:ascii="Arial" w:hAnsi="Arial" w:cs="Arial"/>
                <w:sz w:val="22"/>
                <w:szCs w:val="22"/>
              </w:rPr>
              <w:t>˂</w:t>
            </w:r>
            <w:r w:rsidRPr="00D62803">
              <w:rPr>
                <w:rFonts w:ascii="Arial Narrow" w:hAnsi="Arial Narrow"/>
                <w:sz w:val="22"/>
                <w:szCs w:val="22"/>
              </w:rPr>
              <w:t xml:space="preserve"> 1 %) ohne Faktor VIII-Inhibitoren</w:t>
            </w:r>
          </w:p>
          <w:p w14:paraId="26237098" w14:textId="77777777" w:rsidR="00D62803" w:rsidRPr="00D62803" w:rsidRDefault="00D62803" w:rsidP="00D62803">
            <w:pPr>
              <w:spacing w:after="0"/>
              <w:rPr>
                <w:rFonts w:ascii="Arial Narrow" w:hAnsi="Arial Narrow"/>
                <w:sz w:val="22"/>
                <w:szCs w:val="22"/>
              </w:rPr>
            </w:pPr>
            <w:r w:rsidRPr="00D62803">
              <w:rPr>
                <w:rFonts w:ascii="Arial Narrow" w:hAnsi="Arial Narrow"/>
                <w:sz w:val="22"/>
                <w:szCs w:val="22"/>
              </w:rPr>
              <w:t xml:space="preserve">• schwerer Hämophilie B (angeborener Faktor IX-Mangel, FIX </w:t>
            </w:r>
            <w:r w:rsidRPr="00D62803">
              <w:rPr>
                <w:rFonts w:ascii="Arial" w:hAnsi="Arial" w:cs="Arial"/>
                <w:sz w:val="22"/>
                <w:szCs w:val="22"/>
              </w:rPr>
              <w:t>˂</w:t>
            </w:r>
            <w:r w:rsidRPr="00D62803">
              <w:rPr>
                <w:rFonts w:ascii="Arial Narrow" w:hAnsi="Arial Narrow"/>
                <w:sz w:val="22"/>
                <w:szCs w:val="22"/>
              </w:rPr>
              <w:t xml:space="preserve"> 1 %) ohne Faktor IX-Inhibitoren </w:t>
            </w:r>
          </w:p>
          <w:p w14:paraId="3C82511B" w14:textId="38A330D7" w:rsidR="003151FB" w:rsidRPr="005B423B" w:rsidRDefault="00D62803" w:rsidP="00D62803">
            <w:pPr>
              <w:spacing w:after="0"/>
              <w:rPr>
                <w:rFonts w:ascii="Arial Narrow" w:hAnsi="Arial Narrow"/>
                <w:sz w:val="22"/>
                <w:szCs w:val="22"/>
              </w:rPr>
            </w:pPr>
            <w:r w:rsidRPr="00D62803">
              <w:rPr>
                <w:rFonts w:ascii="Arial Narrow" w:hAnsi="Arial Narrow"/>
                <w:sz w:val="22"/>
                <w:szCs w:val="22"/>
              </w:rPr>
              <w:t xml:space="preserve">(Fachinformation </w:t>
            </w:r>
            <w:proofErr w:type="spellStart"/>
            <w:r w:rsidRPr="00D62803">
              <w:rPr>
                <w:rFonts w:ascii="Arial Narrow" w:hAnsi="Arial Narrow"/>
                <w:sz w:val="22"/>
                <w:szCs w:val="22"/>
              </w:rPr>
              <w:t>Hympavzi</w:t>
            </w:r>
            <w:proofErr w:type="spellEnd"/>
            <w:r w:rsidRPr="00D62803">
              <w:rPr>
                <w:rFonts w:ascii="Arial Narrow" w:hAnsi="Arial Narrow"/>
                <w:sz w:val="22"/>
                <w:szCs w:val="22"/>
              </w:rPr>
              <w:t>, Stand April 2025)</w:t>
            </w:r>
          </w:p>
        </w:tc>
      </w:tr>
    </w:tbl>
    <w:p w14:paraId="1803EBE3"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0010DFC7"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97D1EB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Welche bestehende Methode wird durch die neue Methode abgelöst oder ergänzt?</w:t>
            </w:r>
          </w:p>
        </w:tc>
      </w:tr>
      <w:tr w:rsidR="003151FB" w:rsidRPr="003151FB" w14:paraId="33A68C77" w14:textId="77777777" w:rsidTr="003151FB">
        <w:trPr>
          <w:trHeight w:val="758"/>
        </w:trPr>
        <w:tc>
          <w:tcPr>
            <w:tcW w:w="9215" w:type="dxa"/>
            <w:tcBorders>
              <w:top w:val="single" w:sz="4" w:space="0" w:color="000000"/>
              <w:left w:val="single" w:sz="4" w:space="0" w:color="000000"/>
              <w:bottom w:val="single" w:sz="4" w:space="0" w:color="000000"/>
              <w:right w:val="single" w:sz="4" w:space="0" w:color="000000"/>
            </w:tcBorders>
            <w:hideMark/>
          </w:tcPr>
          <w:p w14:paraId="749A2B2D" w14:textId="0E442383" w:rsidR="00D62803" w:rsidRPr="00D62803" w:rsidRDefault="00D62803" w:rsidP="00D62803">
            <w:pPr>
              <w:spacing w:after="0"/>
              <w:rPr>
                <w:rFonts w:ascii="Arial Narrow" w:hAnsi="Arial Narrow"/>
                <w:sz w:val="22"/>
                <w:szCs w:val="22"/>
              </w:rPr>
            </w:pPr>
            <w:r w:rsidRPr="00D62803">
              <w:rPr>
                <w:rFonts w:ascii="Arial Narrow" w:hAnsi="Arial Narrow"/>
                <w:sz w:val="22"/>
                <w:szCs w:val="22"/>
              </w:rPr>
              <w:t>Andere prophylaktische Therapieoptionen wie Faktor-VIII- oder Faktor-IX-Ersatzpräparate sowie nicht</w:t>
            </w:r>
            <w:r w:rsidRPr="00D62803">
              <w:rPr>
                <w:rFonts w:ascii="Arial Narrow" w:hAnsi="Arial Narrow"/>
                <w:sz w:val="22"/>
                <w:szCs w:val="22"/>
              </w:rPr>
              <w:t xml:space="preserve">faktorbasierte Therapien wie </w:t>
            </w:r>
            <w:proofErr w:type="spellStart"/>
            <w:r w:rsidRPr="00D62803">
              <w:rPr>
                <w:rFonts w:ascii="Arial Narrow" w:hAnsi="Arial Narrow"/>
                <w:sz w:val="22"/>
                <w:szCs w:val="22"/>
              </w:rPr>
              <w:t>Emicizumab</w:t>
            </w:r>
            <w:proofErr w:type="spellEnd"/>
            <w:r w:rsidRPr="00D62803">
              <w:rPr>
                <w:rFonts w:ascii="Arial Narrow" w:hAnsi="Arial Narrow"/>
                <w:sz w:val="22"/>
                <w:szCs w:val="22"/>
              </w:rPr>
              <w:t xml:space="preserve"> (bei Hämophilie A) sind bei bestimmten Patientengruppen aufgrund von Wirksamkeits- oder Anwendungsgrenzen nicht ausreichend. </w:t>
            </w:r>
            <w:proofErr w:type="spellStart"/>
            <w:r w:rsidRPr="00D62803">
              <w:rPr>
                <w:rFonts w:ascii="Arial Narrow" w:hAnsi="Arial Narrow"/>
                <w:sz w:val="22"/>
                <w:szCs w:val="22"/>
              </w:rPr>
              <w:t>Marstacimab</w:t>
            </w:r>
            <w:proofErr w:type="spellEnd"/>
            <w:r w:rsidRPr="00D62803">
              <w:rPr>
                <w:rFonts w:ascii="Arial Narrow" w:hAnsi="Arial Narrow"/>
                <w:sz w:val="22"/>
                <w:szCs w:val="22"/>
              </w:rPr>
              <w:t xml:space="preserve"> stellt eine neuartige Therapieoption dar, die gezielt den </w:t>
            </w:r>
            <w:proofErr w:type="spellStart"/>
            <w:r w:rsidRPr="00D62803">
              <w:rPr>
                <w:rFonts w:ascii="Arial Narrow" w:hAnsi="Arial Narrow"/>
                <w:sz w:val="22"/>
                <w:szCs w:val="22"/>
              </w:rPr>
              <w:t>Tissue</w:t>
            </w:r>
            <w:proofErr w:type="spellEnd"/>
            <w:r w:rsidRPr="00D62803">
              <w:rPr>
                <w:rFonts w:ascii="Arial Narrow" w:hAnsi="Arial Narrow"/>
                <w:sz w:val="22"/>
                <w:szCs w:val="22"/>
              </w:rPr>
              <w:t xml:space="preserve"> </w:t>
            </w:r>
            <w:proofErr w:type="spellStart"/>
            <w:r w:rsidRPr="00D62803">
              <w:rPr>
                <w:rFonts w:ascii="Arial Narrow" w:hAnsi="Arial Narrow"/>
                <w:sz w:val="22"/>
                <w:szCs w:val="22"/>
              </w:rPr>
              <w:t>Factor</w:t>
            </w:r>
            <w:proofErr w:type="spellEnd"/>
            <w:r w:rsidRPr="00D62803">
              <w:rPr>
                <w:rFonts w:ascii="Arial Narrow" w:hAnsi="Arial Narrow"/>
                <w:sz w:val="22"/>
                <w:szCs w:val="22"/>
              </w:rPr>
              <w:t xml:space="preserve"> </w:t>
            </w:r>
            <w:proofErr w:type="spellStart"/>
            <w:r w:rsidRPr="00D62803">
              <w:rPr>
                <w:rFonts w:ascii="Arial Narrow" w:hAnsi="Arial Narrow"/>
                <w:sz w:val="22"/>
                <w:szCs w:val="22"/>
              </w:rPr>
              <w:t>Pathway</w:t>
            </w:r>
            <w:proofErr w:type="spellEnd"/>
            <w:r w:rsidRPr="00D62803">
              <w:rPr>
                <w:rFonts w:ascii="Arial Narrow" w:hAnsi="Arial Narrow"/>
                <w:sz w:val="22"/>
                <w:szCs w:val="22"/>
              </w:rPr>
              <w:t xml:space="preserve"> Inhibitor (TFPI) hemmt und somit den extrinsischen</w:t>
            </w:r>
          </w:p>
          <w:p w14:paraId="59774FC3" w14:textId="2DEB4A87" w:rsidR="00D62803" w:rsidRPr="00D62803" w:rsidRDefault="00D62803" w:rsidP="00D62803">
            <w:pPr>
              <w:spacing w:after="0"/>
              <w:rPr>
                <w:rFonts w:ascii="Arial Narrow" w:hAnsi="Arial Narrow"/>
                <w:sz w:val="22"/>
                <w:szCs w:val="22"/>
              </w:rPr>
            </w:pPr>
            <w:r w:rsidRPr="00D62803">
              <w:rPr>
                <w:rFonts w:ascii="Arial Narrow" w:hAnsi="Arial Narrow"/>
                <w:sz w:val="22"/>
                <w:szCs w:val="22"/>
              </w:rPr>
              <w:t>Gerinnungsweg verstärkt. Es ergänzt das bestehende Therapiespektrum insbesondere für Patienten mit</w:t>
            </w:r>
          </w:p>
          <w:p w14:paraId="513BD3C4" w14:textId="77777777" w:rsidR="00D62803" w:rsidRPr="00D62803" w:rsidRDefault="00D62803" w:rsidP="00D62803">
            <w:pPr>
              <w:spacing w:after="0"/>
              <w:rPr>
                <w:rFonts w:ascii="Arial Narrow" w:hAnsi="Arial Narrow"/>
                <w:sz w:val="22"/>
                <w:szCs w:val="22"/>
              </w:rPr>
            </w:pPr>
            <w:r w:rsidRPr="00D62803">
              <w:rPr>
                <w:rFonts w:ascii="Arial Narrow" w:hAnsi="Arial Narrow"/>
                <w:sz w:val="22"/>
                <w:szCs w:val="22"/>
              </w:rPr>
              <w:t xml:space="preserve">schwerer Hämophilie A oder B ohne Inhibitoren. </w:t>
            </w:r>
          </w:p>
          <w:p w14:paraId="2B2E8B66" w14:textId="7F37DD91" w:rsidR="003151FB" w:rsidRPr="003151FB" w:rsidRDefault="00D62803" w:rsidP="00D62803">
            <w:pPr>
              <w:spacing w:after="0"/>
              <w:rPr>
                <w:rFonts w:ascii="Arial Narrow" w:hAnsi="Arial Narrow"/>
                <w:sz w:val="22"/>
                <w:szCs w:val="22"/>
              </w:rPr>
            </w:pPr>
            <w:proofErr w:type="spellStart"/>
            <w:r w:rsidRPr="00D62803">
              <w:rPr>
                <w:rFonts w:ascii="Arial Narrow" w:hAnsi="Arial Narrow"/>
                <w:sz w:val="22"/>
                <w:szCs w:val="22"/>
              </w:rPr>
              <w:t>Marstacimab</w:t>
            </w:r>
            <w:proofErr w:type="spellEnd"/>
            <w:r w:rsidRPr="00D62803">
              <w:rPr>
                <w:rFonts w:ascii="Arial Narrow" w:hAnsi="Arial Narrow"/>
                <w:sz w:val="22"/>
                <w:szCs w:val="22"/>
              </w:rPr>
              <w:t xml:space="preserve"> stellt die erste Therapieoption in fixer Dosierung für Patienten mit Hämophilie A oder B dar.</w:t>
            </w:r>
          </w:p>
        </w:tc>
      </w:tr>
    </w:tbl>
    <w:p w14:paraId="259D4819" w14:textId="77777777" w:rsidR="003151FB" w:rsidRDefault="003151FB"/>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62DB1980" w14:textId="77777777" w:rsidTr="003151FB">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68AA285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Ist die Methode vollständig oder in Teilen neu und warum handelt es sich um eine neue Untersuchungs- und Behandlungsmethode?</w:t>
            </w:r>
          </w:p>
        </w:tc>
      </w:tr>
      <w:tr w:rsidR="003151FB" w:rsidRPr="003151FB" w14:paraId="41A6F364"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3D34E356" w14:textId="77777777" w:rsidR="00D62803" w:rsidRPr="00D62803" w:rsidRDefault="00D62803" w:rsidP="00D62803">
            <w:pPr>
              <w:spacing w:after="0"/>
              <w:rPr>
                <w:rFonts w:ascii="Arial Narrow" w:hAnsi="Arial Narrow"/>
                <w:sz w:val="22"/>
                <w:szCs w:val="22"/>
              </w:rPr>
            </w:pPr>
            <w:r w:rsidRPr="00D62803">
              <w:rPr>
                <w:rFonts w:ascii="Arial Narrow" w:hAnsi="Arial Narrow"/>
                <w:sz w:val="22"/>
                <w:szCs w:val="22"/>
              </w:rPr>
              <w:t xml:space="preserve">Bei </w:t>
            </w:r>
            <w:proofErr w:type="spellStart"/>
            <w:r w:rsidRPr="00D62803">
              <w:rPr>
                <w:rFonts w:ascii="Arial Narrow" w:hAnsi="Arial Narrow"/>
                <w:sz w:val="22"/>
                <w:szCs w:val="22"/>
              </w:rPr>
              <w:t>Marstacimab</w:t>
            </w:r>
            <w:proofErr w:type="spellEnd"/>
            <w:r w:rsidRPr="00D62803">
              <w:rPr>
                <w:rFonts w:ascii="Arial Narrow" w:hAnsi="Arial Narrow"/>
                <w:sz w:val="22"/>
                <w:szCs w:val="22"/>
              </w:rPr>
              <w:t xml:space="preserve"> handelt es sich um ein neues Medikament, das am 18. November 2024 in der Europäischen </w:t>
            </w:r>
          </w:p>
          <w:p w14:paraId="31022CE4" w14:textId="77777777" w:rsidR="00D62803" w:rsidRPr="00D62803" w:rsidRDefault="00D62803" w:rsidP="00D62803">
            <w:pPr>
              <w:spacing w:after="0"/>
              <w:rPr>
                <w:rFonts w:ascii="Arial Narrow" w:hAnsi="Arial Narrow"/>
                <w:sz w:val="22"/>
                <w:szCs w:val="22"/>
              </w:rPr>
            </w:pPr>
            <w:r w:rsidRPr="00D62803">
              <w:rPr>
                <w:rFonts w:ascii="Arial Narrow" w:hAnsi="Arial Narrow"/>
                <w:sz w:val="22"/>
                <w:szCs w:val="22"/>
              </w:rPr>
              <w:lastRenderedPageBreak/>
              <w:t xml:space="preserve">Union (EU) im Rahmen des Zulassungsverfahren bei der Europäischen Arzneimittel Agentur (EMA) zugelassen </w:t>
            </w:r>
          </w:p>
          <w:p w14:paraId="3B80E7B7" w14:textId="77777777" w:rsidR="00D62803" w:rsidRPr="00D62803" w:rsidRDefault="00D62803" w:rsidP="00D62803">
            <w:pPr>
              <w:spacing w:after="0"/>
              <w:rPr>
                <w:rFonts w:ascii="Arial Narrow" w:hAnsi="Arial Narrow"/>
                <w:sz w:val="22"/>
                <w:szCs w:val="22"/>
              </w:rPr>
            </w:pPr>
            <w:r w:rsidRPr="00D62803">
              <w:rPr>
                <w:rFonts w:ascii="Arial Narrow" w:hAnsi="Arial Narrow"/>
                <w:sz w:val="22"/>
                <w:szCs w:val="22"/>
              </w:rPr>
              <w:t xml:space="preserve">wurde. </w:t>
            </w:r>
            <w:proofErr w:type="spellStart"/>
            <w:r w:rsidRPr="00D62803">
              <w:rPr>
                <w:rFonts w:ascii="Arial Narrow" w:hAnsi="Arial Narrow"/>
                <w:sz w:val="22"/>
                <w:szCs w:val="22"/>
              </w:rPr>
              <w:t>Marstacimab</w:t>
            </w:r>
            <w:proofErr w:type="spellEnd"/>
            <w:r w:rsidRPr="00D62803">
              <w:rPr>
                <w:rFonts w:ascii="Arial Narrow" w:hAnsi="Arial Narrow"/>
                <w:sz w:val="22"/>
                <w:szCs w:val="22"/>
              </w:rPr>
              <w:t xml:space="preserve"> ist damit die erste in der EU zugelassene, fix-dosierte, subkutane Anti-TFPI-Therapie für </w:t>
            </w:r>
          </w:p>
          <w:p w14:paraId="5B463CDB" w14:textId="77777777" w:rsidR="00D62803" w:rsidRPr="00D62803" w:rsidRDefault="00D62803" w:rsidP="00D62803">
            <w:pPr>
              <w:spacing w:after="0"/>
              <w:rPr>
                <w:rFonts w:ascii="Arial Narrow" w:hAnsi="Arial Narrow"/>
                <w:sz w:val="22"/>
                <w:szCs w:val="22"/>
              </w:rPr>
            </w:pPr>
            <w:r w:rsidRPr="00D62803">
              <w:rPr>
                <w:rFonts w:ascii="Arial Narrow" w:hAnsi="Arial Narrow"/>
                <w:sz w:val="22"/>
                <w:szCs w:val="22"/>
              </w:rPr>
              <w:t xml:space="preserve">Patienten ab 12 Jahren mit einer schweren Hämophilie A (angeborener Faktor VIII-Mangel, FVIII </w:t>
            </w:r>
            <w:r w:rsidRPr="00D62803">
              <w:rPr>
                <w:rFonts w:ascii="Arial" w:hAnsi="Arial" w:cs="Arial"/>
                <w:sz w:val="22"/>
                <w:szCs w:val="22"/>
              </w:rPr>
              <w:t>˂</w:t>
            </w:r>
            <w:r w:rsidRPr="00D62803">
              <w:rPr>
                <w:rFonts w:ascii="Arial Narrow" w:hAnsi="Arial Narrow"/>
                <w:sz w:val="22"/>
                <w:szCs w:val="22"/>
              </w:rPr>
              <w:t xml:space="preserve"> 1 %) ohne </w:t>
            </w:r>
          </w:p>
          <w:p w14:paraId="0A6E39AA" w14:textId="4AF66836" w:rsidR="003151FB" w:rsidRPr="003151FB" w:rsidRDefault="00D62803" w:rsidP="00D62803">
            <w:pPr>
              <w:spacing w:after="0"/>
              <w:rPr>
                <w:rFonts w:ascii="Arial Narrow" w:hAnsi="Arial Narrow"/>
                <w:sz w:val="22"/>
                <w:szCs w:val="22"/>
              </w:rPr>
            </w:pPr>
            <w:r w:rsidRPr="00D62803">
              <w:rPr>
                <w:rFonts w:ascii="Arial Narrow" w:hAnsi="Arial Narrow"/>
                <w:sz w:val="22"/>
                <w:szCs w:val="22"/>
              </w:rPr>
              <w:t xml:space="preserve">Faktor-VIII-Inhibitoren und schweren Hämophilie B (angeborener Faktor IX-Mangel, IX </w:t>
            </w:r>
            <w:r w:rsidRPr="00D62803">
              <w:rPr>
                <w:rFonts w:ascii="Arial" w:hAnsi="Arial" w:cs="Arial"/>
                <w:sz w:val="22"/>
                <w:szCs w:val="22"/>
              </w:rPr>
              <w:t>˂</w:t>
            </w:r>
            <w:r>
              <w:rPr>
                <w:rFonts w:ascii="Arial Narrow" w:hAnsi="Arial Narrow"/>
                <w:sz w:val="22"/>
                <w:szCs w:val="22"/>
              </w:rPr>
              <w:t xml:space="preserve"> 1 %) ohne Faktor-IX-</w:t>
            </w:r>
            <w:r w:rsidRPr="00D62803">
              <w:rPr>
                <w:rFonts w:ascii="Arial Narrow" w:hAnsi="Arial Narrow"/>
                <w:sz w:val="22"/>
                <w:szCs w:val="22"/>
              </w:rPr>
              <w:t>Inhibitoren).</w:t>
            </w:r>
          </w:p>
        </w:tc>
      </w:tr>
    </w:tbl>
    <w:p w14:paraId="3CD42BDB"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39E64535"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2A332F2"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Welche Auswirkungen hat die Methode auf die Verweildauer im Krankenhaus?</w:t>
            </w:r>
          </w:p>
        </w:tc>
      </w:tr>
      <w:tr w:rsidR="003151FB" w:rsidRPr="003151FB" w14:paraId="77415020" w14:textId="77777777" w:rsidTr="003151F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51F9CD2E"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Zur Veränderung der Verweildauer im Krankenhaus können derzeit aufgrund fehlender Erfahrungen keine Aussagen gemacht werden.</w:t>
            </w:r>
          </w:p>
        </w:tc>
      </w:tr>
    </w:tbl>
    <w:p w14:paraId="1FABC37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3CDCFB9A"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B76EFDF"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Wann wurde diese Methode in Deutschland eingeführt?</w:t>
            </w:r>
          </w:p>
        </w:tc>
      </w:tr>
      <w:tr w:rsidR="003151FB" w:rsidRPr="003151FB" w14:paraId="01FC4843"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04AD28A0" w14:textId="2B74161E" w:rsidR="003151FB" w:rsidRPr="003151FB" w:rsidRDefault="00D62803" w:rsidP="00D62803">
            <w:pPr>
              <w:spacing w:after="0"/>
              <w:rPr>
                <w:rFonts w:ascii="Arial Narrow" w:hAnsi="Arial Narrow"/>
                <w:sz w:val="22"/>
                <w:szCs w:val="22"/>
                <w:lang w:val="en-US"/>
              </w:rPr>
            </w:pPr>
            <w:r>
              <w:rPr>
                <w:rFonts w:ascii="Arial Narrow" w:hAnsi="Arial Narrow"/>
                <w:sz w:val="22"/>
                <w:szCs w:val="22"/>
                <w:lang w:val="en-US"/>
              </w:rPr>
              <w:t>0</w:t>
            </w:r>
            <w:r w:rsidR="005B423B">
              <w:rPr>
                <w:rFonts w:ascii="Arial Narrow" w:hAnsi="Arial Narrow"/>
                <w:sz w:val="22"/>
                <w:szCs w:val="22"/>
                <w:lang w:val="en-US"/>
              </w:rPr>
              <w:t>1.</w:t>
            </w:r>
            <w:r>
              <w:rPr>
                <w:rFonts w:ascii="Arial Narrow" w:hAnsi="Arial Narrow"/>
                <w:sz w:val="22"/>
                <w:szCs w:val="22"/>
                <w:lang w:val="en-US"/>
              </w:rPr>
              <w:t>02.2025</w:t>
            </w:r>
          </w:p>
        </w:tc>
      </w:tr>
    </w:tbl>
    <w:p w14:paraId="466CE66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0522B11B"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AD05390"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Bei Medikamenten: Wann wurde dieses Medikament zugelassen?</w:t>
            </w:r>
          </w:p>
        </w:tc>
      </w:tr>
      <w:tr w:rsidR="003151FB" w:rsidRPr="003151FB" w14:paraId="1DCABCB7"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1EF0FA9B" w14:textId="21587C63" w:rsidR="003151FB" w:rsidRPr="003151FB" w:rsidRDefault="00D62803" w:rsidP="003151FB">
            <w:pPr>
              <w:spacing w:after="0"/>
              <w:rPr>
                <w:rFonts w:ascii="Arial Narrow" w:hAnsi="Arial Narrow"/>
                <w:sz w:val="22"/>
                <w:szCs w:val="22"/>
                <w:lang w:val="en-US"/>
              </w:rPr>
            </w:pPr>
            <w:r>
              <w:rPr>
                <w:rFonts w:ascii="Arial Narrow" w:hAnsi="Arial Narrow"/>
                <w:sz w:val="22"/>
                <w:szCs w:val="22"/>
                <w:lang w:val="en-US"/>
              </w:rPr>
              <w:t>18.11.2024</w:t>
            </w:r>
          </w:p>
        </w:tc>
      </w:tr>
    </w:tbl>
    <w:p w14:paraId="05B678FF"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86A2A36"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44C912C"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Wann wurde bzw. wird die Methode in Ihrem Krankenhaus eingeführt?</w:t>
            </w:r>
          </w:p>
        </w:tc>
      </w:tr>
      <w:tr w:rsidR="003151FB" w:rsidRPr="003151FB" w14:paraId="222466ED"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BE242AB"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highlight w:val="yellow"/>
                <w:lang w:val="en-US"/>
              </w:rPr>
              <w:t>bitte</w:t>
            </w:r>
            <w:proofErr w:type="spellEnd"/>
            <w:r w:rsidRPr="003151FB">
              <w:rPr>
                <w:rFonts w:ascii="Arial Narrow" w:hAnsi="Arial Narrow"/>
                <w:sz w:val="22"/>
                <w:szCs w:val="22"/>
                <w:highlight w:val="yellow"/>
                <w:lang w:val="en-US"/>
              </w:rPr>
              <w:t xml:space="preserve"> </w:t>
            </w:r>
            <w:proofErr w:type="spellStart"/>
            <w:r w:rsidRPr="003151FB">
              <w:rPr>
                <w:rFonts w:ascii="Arial Narrow" w:hAnsi="Arial Narrow"/>
                <w:sz w:val="22"/>
                <w:szCs w:val="22"/>
                <w:highlight w:val="yellow"/>
                <w:lang w:val="en-US"/>
              </w:rPr>
              <w:t>ergänzen</w:t>
            </w:r>
            <w:proofErr w:type="spellEnd"/>
            <w:r w:rsidRPr="003151FB">
              <w:rPr>
                <w:rFonts w:ascii="Arial Narrow" w:hAnsi="Arial Narrow"/>
                <w:sz w:val="22"/>
                <w:szCs w:val="22"/>
                <w:highlight w:val="yellow"/>
                <w:lang w:val="en-US"/>
              </w:rPr>
              <w:t>]</w:t>
            </w:r>
          </w:p>
        </w:tc>
      </w:tr>
    </w:tbl>
    <w:p w14:paraId="698D4C8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595F2C1F"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CBE3E0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In wie vielen Kliniken wird diese Methode derzeit eingesetzt (Schätzung)?</w:t>
            </w:r>
          </w:p>
        </w:tc>
      </w:tr>
      <w:tr w:rsidR="003151FB" w:rsidRPr="003151FB" w14:paraId="4FFC3DC4" w14:textId="77777777" w:rsidTr="002D1DE8">
        <w:trPr>
          <w:trHeight w:val="344"/>
        </w:trPr>
        <w:tc>
          <w:tcPr>
            <w:tcW w:w="9215" w:type="dxa"/>
            <w:tcBorders>
              <w:top w:val="single" w:sz="4" w:space="0" w:color="000000"/>
              <w:left w:val="single" w:sz="4" w:space="0" w:color="000000"/>
              <w:bottom w:val="single" w:sz="4" w:space="0" w:color="000000"/>
              <w:right w:val="single" w:sz="4" w:space="0" w:color="000000"/>
            </w:tcBorders>
            <w:hideMark/>
          </w:tcPr>
          <w:p w14:paraId="332C927B" w14:textId="1CE3B800" w:rsidR="003151FB" w:rsidRPr="003151FB" w:rsidRDefault="005B423B" w:rsidP="003151FB">
            <w:pPr>
              <w:spacing w:after="0"/>
              <w:rPr>
                <w:rFonts w:ascii="Arial Narrow" w:hAnsi="Arial Narrow"/>
                <w:sz w:val="22"/>
                <w:szCs w:val="22"/>
              </w:rPr>
            </w:pPr>
            <w:r>
              <w:rPr>
                <w:rFonts w:ascii="Arial Narrow" w:hAnsi="Arial Narrow"/>
                <w:sz w:val="22"/>
                <w:szCs w:val="22"/>
              </w:rPr>
              <w:t>Unbekannt</w:t>
            </w:r>
          </w:p>
        </w:tc>
      </w:tr>
    </w:tbl>
    <w:p w14:paraId="1ADA742D"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172C00D"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49A7B25F" w14:textId="0C126239"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Wie viele Patienten wurden in Ihrem Krankenhaus in 202</w:t>
            </w:r>
            <w:r w:rsidR="00FE5A81">
              <w:rPr>
                <w:rFonts w:ascii="Arial Narrow" w:hAnsi="Arial Narrow"/>
                <w:b/>
                <w:sz w:val="22"/>
                <w:szCs w:val="22"/>
              </w:rPr>
              <w:t>4</w:t>
            </w:r>
            <w:r w:rsidRPr="003151FB">
              <w:rPr>
                <w:rFonts w:ascii="Arial Narrow" w:hAnsi="Arial Narrow"/>
                <w:b/>
                <w:sz w:val="22"/>
                <w:szCs w:val="22"/>
              </w:rPr>
              <w:t xml:space="preserve"> oder in 202</w:t>
            </w:r>
            <w:r w:rsidR="00FE5A81">
              <w:rPr>
                <w:rFonts w:ascii="Arial Narrow" w:hAnsi="Arial Narrow"/>
                <w:b/>
                <w:sz w:val="22"/>
                <w:szCs w:val="22"/>
              </w:rPr>
              <w:t>5</w:t>
            </w:r>
            <w:r w:rsidRPr="003151FB">
              <w:rPr>
                <w:rFonts w:ascii="Arial Narrow" w:hAnsi="Arial Narrow"/>
                <w:b/>
                <w:sz w:val="22"/>
                <w:szCs w:val="22"/>
              </w:rPr>
              <w:t xml:space="preserve"> mit dieser Methode behandelt?</w:t>
            </w:r>
          </w:p>
        </w:tc>
      </w:tr>
      <w:tr w:rsidR="003151FB" w:rsidRPr="003151FB" w14:paraId="7CFC5DF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A3E8EE2" w14:textId="384EEB4A"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In 202</w:t>
            </w:r>
            <w:r w:rsidR="00FE5A81">
              <w:rPr>
                <w:rFonts w:ascii="Arial Narrow" w:hAnsi="Arial Narrow"/>
                <w:sz w:val="22"/>
                <w:szCs w:val="22"/>
                <w:lang w:val="en-US"/>
              </w:rPr>
              <w:t>4</w:t>
            </w:r>
          </w:p>
        </w:tc>
      </w:tr>
      <w:tr w:rsidR="003151FB" w:rsidRPr="003151FB" w14:paraId="482430B3"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8AE0C8B"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highlight w:val="yellow"/>
                <w:lang w:val="en-US"/>
              </w:rPr>
              <w:t>bitte</w:t>
            </w:r>
            <w:proofErr w:type="spellEnd"/>
            <w:r w:rsidRPr="003151FB">
              <w:rPr>
                <w:rFonts w:ascii="Arial Narrow" w:hAnsi="Arial Narrow"/>
                <w:sz w:val="22"/>
                <w:szCs w:val="22"/>
                <w:highlight w:val="yellow"/>
                <w:lang w:val="en-US"/>
              </w:rPr>
              <w:t xml:space="preserve"> </w:t>
            </w:r>
            <w:proofErr w:type="spellStart"/>
            <w:r w:rsidRPr="003151FB">
              <w:rPr>
                <w:rFonts w:ascii="Arial Narrow" w:hAnsi="Arial Narrow"/>
                <w:sz w:val="22"/>
                <w:szCs w:val="22"/>
                <w:highlight w:val="yellow"/>
                <w:lang w:val="en-US"/>
              </w:rPr>
              <w:t>ergänzen</w:t>
            </w:r>
            <w:proofErr w:type="spellEnd"/>
            <w:r w:rsidRPr="003151FB">
              <w:rPr>
                <w:rFonts w:ascii="Arial Narrow" w:hAnsi="Arial Narrow"/>
                <w:sz w:val="22"/>
                <w:szCs w:val="22"/>
                <w:highlight w:val="yellow"/>
                <w:lang w:val="en-US"/>
              </w:rPr>
              <w:t>]</w:t>
            </w:r>
          </w:p>
        </w:tc>
      </w:tr>
      <w:tr w:rsidR="003151FB" w:rsidRPr="003151FB" w14:paraId="06C2D04B"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F6D14C7" w14:textId="46A553C5"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In 202</w:t>
            </w:r>
            <w:r w:rsidR="00FE5A81">
              <w:rPr>
                <w:rFonts w:ascii="Arial Narrow" w:hAnsi="Arial Narrow"/>
                <w:sz w:val="22"/>
                <w:szCs w:val="22"/>
                <w:lang w:val="en-US"/>
              </w:rPr>
              <w:t>5</w:t>
            </w:r>
          </w:p>
        </w:tc>
      </w:tr>
      <w:tr w:rsidR="003151FB" w:rsidRPr="003151FB" w14:paraId="50A4660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ABD70FC"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lang w:val="en-US"/>
              </w:rPr>
              <w:t>bitte</w:t>
            </w:r>
            <w:proofErr w:type="spellEnd"/>
            <w:r w:rsidRPr="003151FB">
              <w:rPr>
                <w:rFonts w:ascii="Arial Narrow" w:hAnsi="Arial Narrow"/>
                <w:sz w:val="22"/>
                <w:szCs w:val="22"/>
                <w:lang w:val="en-US"/>
              </w:rPr>
              <w:t xml:space="preserve"> </w:t>
            </w:r>
            <w:proofErr w:type="spellStart"/>
            <w:r w:rsidRPr="003151FB">
              <w:rPr>
                <w:rFonts w:ascii="Arial Narrow" w:hAnsi="Arial Narrow"/>
                <w:sz w:val="22"/>
                <w:szCs w:val="22"/>
                <w:lang w:val="en-US"/>
              </w:rPr>
              <w:t>ergänzen</w:t>
            </w:r>
            <w:proofErr w:type="spellEnd"/>
            <w:r w:rsidRPr="003151FB">
              <w:rPr>
                <w:rFonts w:ascii="Arial Narrow" w:hAnsi="Arial Narrow"/>
                <w:sz w:val="22"/>
                <w:szCs w:val="22"/>
                <w:lang w:val="en-US"/>
              </w:rPr>
              <w:t>]</w:t>
            </w:r>
          </w:p>
        </w:tc>
      </w:tr>
    </w:tbl>
    <w:p w14:paraId="4DEB5617"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6F84293E"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58527CA2" w14:textId="4F8B76E5" w:rsidR="003151FB" w:rsidRPr="003151FB" w:rsidRDefault="003151FB" w:rsidP="003151FB">
            <w:pPr>
              <w:spacing w:after="0"/>
              <w:rPr>
                <w:rFonts w:ascii="Arial Narrow" w:hAnsi="Arial Narrow"/>
                <w:b/>
                <w:sz w:val="22"/>
                <w:szCs w:val="22"/>
              </w:rPr>
            </w:pPr>
            <w:proofErr w:type="spellStart"/>
            <w:r w:rsidRPr="003151FB">
              <w:rPr>
                <w:rFonts w:ascii="Arial Narrow" w:hAnsi="Arial Narrow"/>
                <w:b/>
                <w:sz w:val="22"/>
                <w:szCs w:val="22"/>
              </w:rPr>
              <w:t>Wieviele</w:t>
            </w:r>
            <w:proofErr w:type="spellEnd"/>
            <w:r w:rsidRPr="003151FB">
              <w:rPr>
                <w:rFonts w:ascii="Arial Narrow" w:hAnsi="Arial Narrow"/>
                <w:b/>
                <w:sz w:val="22"/>
                <w:szCs w:val="22"/>
              </w:rPr>
              <w:t xml:space="preserve"> Patienten planen Sie im Jahr 202</w:t>
            </w:r>
            <w:r w:rsidR="00FE5A81">
              <w:rPr>
                <w:rFonts w:ascii="Arial Narrow" w:hAnsi="Arial Narrow"/>
                <w:b/>
                <w:sz w:val="22"/>
                <w:szCs w:val="22"/>
              </w:rPr>
              <w:t>6</w:t>
            </w:r>
            <w:r w:rsidRPr="003151FB">
              <w:rPr>
                <w:rFonts w:ascii="Arial Narrow" w:hAnsi="Arial Narrow"/>
                <w:b/>
                <w:sz w:val="22"/>
                <w:szCs w:val="22"/>
              </w:rPr>
              <w:t xml:space="preserve"> mit dieser Methode zu behandeln?</w:t>
            </w:r>
          </w:p>
        </w:tc>
      </w:tr>
      <w:tr w:rsidR="003151FB" w:rsidRPr="003151FB" w14:paraId="760249DF"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C2F19EC"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highlight w:val="yellow"/>
                <w:lang w:val="en-US"/>
              </w:rPr>
              <w:t>bitte</w:t>
            </w:r>
            <w:proofErr w:type="spellEnd"/>
            <w:r w:rsidRPr="003151FB">
              <w:rPr>
                <w:rFonts w:ascii="Arial Narrow" w:hAnsi="Arial Narrow"/>
                <w:sz w:val="22"/>
                <w:szCs w:val="22"/>
                <w:highlight w:val="yellow"/>
                <w:lang w:val="en-US"/>
              </w:rPr>
              <w:t xml:space="preserve"> </w:t>
            </w:r>
            <w:proofErr w:type="spellStart"/>
            <w:r w:rsidRPr="003151FB">
              <w:rPr>
                <w:rFonts w:ascii="Arial Narrow" w:hAnsi="Arial Narrow"/>
                <w:sz w:val="22"/>
                <w:szCs w:val="22"/>
                <w:highlight w:val="yellow"/>
                <w:lang w:val="en-US"/>
              </w:rPr>
              <w:t>ergänzen</w:t>
            </w:r>
            <w:proofErr w:type="spellEnd"/>
            <w:r w:rsidRPr="003151FB">
              <w:rPr>
                <w:rFonts w:ascii="Arial Narrow" w:hAnsi="Arial Narrow"/>
                <w:sz w:val="22"/>
                <w:szCs w:val="22"/>
                <w:highlight w:val="yellow"/>
                <w:lang w:val="en-US"/>
              </w:rPr>
              <w:t>]</w:t>
            </w:r>
          </w:p>
        </w:tc>
      </w:tr>
    </w:tbl>
    <w:p w14:paraId="7C459A96" w14:textId="77777777" w:rsidR="006A7E7F" w:rsidRDefault="006A7E7F"/>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55CA6BD" w14:textId="77777777" w:rsidTr="003151FB">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470FD49F" w14:textId="4B4CA590" w:rsidR="003151FB" w:rsidRPr="005B423B" w:rsidRDefault="009E6C3A" w:rsidP="005B423B">
            <w:pPr>
              <w:pStyle w:val="Default"/>
              <w:rPr>
                <w:sz w:val="22"/>
                <w:szCs w:val="22"/>
              </w:rPr>
            </w:pPr>
            <w:r>
              <w:rPr>
                <w:b/>
                <w:bCs/>
                <w:sz w:val="22"/>
                <w:szCs w:val="22"/>
              </w:rPr>
              <w:t xml:space="preserve">Entstehen durch die neue Methode Mehrkosten gegenüber dem bisher üblichen Verfahren? Wenn ja, wodurch? In welcher Höhe (möglichst aufgetrennt nach Personal- und Sachkosten)? </w:t>
            </w:r>
          </w:p>
        </w:tc>
      </w:tr>
      <w:tr w:rsidR="003151FB" w:rsidRPr="003151FB" w14:paraId="4A7682DB"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12085F05" w14:textId="77777777" w:rsidR="005B423B" w:rsidRPr="005B423B" w:rsidRDefault="005B423B" w:rsidP="005B423B">
            <w:pPr>
              <w:rPr>
                <w:rFonts w:ascii="Arial Narrow" w:hAnsi="Arial Narrow"/>
                <w:sz w:val="22"/>
                <w:szCs w:val="22"/>
              </w:rPr>
            </w:pPr>
            <w:r w:rsidRPr="005B423B">
              <w:rPr>
                <w:rFonts w:ascii="Arial Narrow" w:hAnsi="Arial Narrow"/>
                <w:sz w:val="22"/>
                <w:szCs w:val="22"/>
              </w:rPr>
              <w:t>Sachkosten:</w:t>
            </w:r>
          </w:p>
          <w:p w14:paraId="7DA9A1A7" w14:textId="52C8A4AC" w:rsidR="00D62803" w:rsidRPr="00D62803" w:rsidRDefault="00D62803" w:rsidP="00D62803">
            <w:pPr>
              <w:rPr>
                <w:rFonts w:ascii="Arial Narrow" w:hAnsi="Arial Narrow"/>
                <w:sz w:val="22"/>
                <w:szCs w:val="22"/>
              </w:rPr>
            </w:pPr>
            <w:r w:rsidRPr="00D62803">
              <w:rPr>
                <w:rFonts w:ascii="Arial Narrow" w:hAnsi="Arial Narrow"/>
                <w:sz w:val="22"/>
                <w:szCs w:val="22"/>
              </w:rPr>
              <w:t>Die empfohlene Dosis für Patienten ab einem Alter von 12 Jahren mit einem Körpergewicht von mindestens 35 kg ist eine einmalige Initialdosis von 300 mg, gefolgt von 150 mg einmal wöchentlich, jeweils verabreicht als subkutane Injektion zu einer beliebigen Tageszeit.</w:t>
            </w:r>
          </w:p>
          <w:p w14:paraId="6FAB8764" w14:textId="77777777" w:rsidR="00D62803" w:rsidRPr="00D62803" w:rsidRDefault="00D62803" w:rsidP="00D62803">
            <w:pPr>
              <w:rPr>
                <w:rFonts w:ascii="Arial Narrow" w:hAnsi="Arial Narrow"/>
                <w:sz w:val="22"/>
                <w:szCs w:val="22"/>
              </w:rPr>
            </w:pPr>
            <w:r w:rsidRPr="00D62803">
              <w:rPr>
                <w:rFonts w:ascii="Arial Narrow" w:hAnsi="Arial Narrow"/>
                <w:sz w:val="22"/>
                <w:szCs w:val="22"/>
              </w:rPr>
              <w:lastRenderedPageBreak/>
              <w:t xml:space="preserve">Es handelt sich bei </w:t>
            </w:r>
            <w:proofErr w:type="spellStart"/>
            <w:r w:rsidRPr="00D62803">
              <w:rPr>
                <w:rFonts w:ascii="Arial Narrow" w:hAnsi="Arial Narrow"/>
                <w:sz w:val="22"/>
                <w:szCs w:val="22"/>
              </w:rPr>
              <w:t>Marstacimab</w:t>
            </w:r>
            <w:proofErr w:type="spellEnd"/>
            <w:r w:rsidRPr="00D62803">
              <w:rPr>
                <w:rFonts w:ascii="Arial Narrow" w:hAnsi="Arial Narrow"/>
                <w:sz w:val="22"/>
                <w:szCs w:val="22"/>
              </w:rPr>
              <w:t xml:space="preserve"> um eine Dauertherapie. </w:t>
            </w:r>
          </w:p>
          <w:p w14:paraId="1FEC7424" w14:textId="37B24B0E" w:rsidR="00D62803" w:rsidRPr="00D62803" w:rsidRDefault="00D62803" w:rsidP="002D1DE8">
            <w:pPr>
              <w:rPr>
                <w:rFonts w:ascii="Arial Narrow" w:hAnsi="Arial Narrow"/>
                <w:sz w:val="22"/>
                <w:szCs w:val="22"/>
              </w:rPr>
            </w:pPr>
            <w:r w:rsidRPr="00D62803">
              <w:rPr>
                <w:rFonts w:ascii="Arial Narrow" w:hAnsi="Arial Narrow"/>
                <w:sz w:val="22"/>
                <w:szCs w:val="22"/>
              </w:rPr>
              <w:t xml:space="preserve">Der Preis pro Packung beträgt 7.256,30 € (Klinikeinkaufspreis inkl. Mehrwertsteuer) mit 1x 150mg Injektionslösung im </w:t>
            </w:r>
            <w:proofErr w:type="spellStart"/>
            <w:r w:rsidRPr="00D62803">
              <w:rPr>
                <w:rFonts w:ascii="Arial Narrow" w:hAnsi="Arial Narrow"/>
                <w:sz w:val="22"/>
                <w:szCs w:val="22"/>
              </w:rPr>
              <w:t>Fertigpen</w:t>
            </w:r>
            <w:proofErr w:type="spellEnd"/>
            <w:r w:rsidRPr="00D62803">
              <w:rPr>
                <w:rFonts w:ascii="Arial Narrow" w:hAnsi="Arial Narrow"/>
                <w:sz w:val="22"/>
                <w:szCs w:val="22"/>
              </w:rPr>
              <w:t xml:space="preserve">. Dies entspricht den Wochentherapiekosten bei der Verordnung von </w:t>
            </w:r>
            <w:proofErr w:type="spellStart"/>
            <w:r w:rsidRPr="00D62803">
              <w:rPr>
                <w:rFonts w:ascii="Arial Narrow" w:hAnsi="Arial Narrow"/>
                <w:sz w:val="22"/>
                <w:szCs w:val="22"/>
              </w:rPr>
              <w:t>Marstacimab</w:t>
            </w:r>
            <w:proofErr w:type="spellEnd"/>
            <w:r w:rsidRPr="00D62803">
              <w:rPr>
                <w:rFonts w:ascii="Arial Narrow" w:hAnsi="Arial Narrow"/>
                <w:sz w:val="22"/>
                <w:szCs w:val="22"/>
              </w:rPr>
              <w:t>. Es können daher Fallkosten im höheren Tausender-Bereich entstehen, abhängig von der Verweildauer.</w:t>
            </w:r>
          </w:p>
          <w:p w14:paraId="79D60183" w14:textId="77777777" w:rsidR="002D1DE8" w:rsidRDefault="00D62803" w:rsidP="002D1DE8">
            <w:pPr>
              <w:rPr>
                <w:rFonts w:ascii="Arial Narrow" w:hAnsi="Arial Narrow"/>
                <w:sz w:val="22"/>
                <w:szCs w:val="22"/>
              </w:rPr>
            </w:pPr>
            <w:r w:rsidRPr="00D62803">
              <w:rPr>
                <w:rFonts w:ascii="Arial Narrow" w:hAnsi="Arial Narrow"/>
                <w:sz w:val="22"/>
                <w:szCs w:val="22"/>
              </w:rPr>
              <w:t xml:space="preserve">Vergleichbare Verfahren (8-810.8 Rekombinanter Faktor VIII; 8-810.9 </w:t>
            </w:r>
            <w:proofErr w:type="spellStart"/>
            <w:r w:rsidRPr="00D62803">
              <w:rPr>
                <w:rFonts w:ascii="Arial Narrow" w:hAnsi="Arial Narrow"/>
                <w:sz w:val="22"/>
                <w:szCs w:val="22"/>
              </w:rPr>
              <w:t>Plasmatischer</w:t>
            </w:r>
            <w:proofErr w:type="spellEnd"/>
            <w:r w:rsidRPr="00D62803">
              <w:rPr>
                <w:rFonts w:ascii="Arial Narrow" w:hAnsi="Arial Narrow"/>
                <w:sz w:val="22"/>
                <w:szCs w:val="22"/>
              </w:rPr>
              <w:t xml:space="preserve"> Faktor VIII, 8-810.a Rekombinanter Faktor IX, 8-810.b </w:t>
            </w:r>
            <w:proofErr w:type="spellStart"/>
            <w:r w:rsidRPr="00D62803">
              <w:rPr>
                <w:rFonts w:ascii="Arial Narrow" w:hAnsi="Arial Narrow"/>
                <w:sz w:val="22"/>
                <w:szCs w:val="22"/>
              </w:rPr>
              <w:t>Plasmatischer</w:t>
            </w:r>
            <w:proofErr w:type="spellEnd"/>
            <w:r w:rsidRPr="00D62803">
              <w:rPr>
                <w:rFonts w:ascii="Arial Narrow" w:hAnsi="Arial Narrow"/>
                <w:sz w:val="22"/>
                <w:szCs w:val="22"/>
              </w:rPr>
              <w:t xml:space="preserve"> Faktor IX, 6-00b.8 </w:t>
            </w:r>
            <w:proofErr w:type="spellStart"/>
            <w:r w:rsidRPr="00D62803">
              <w:rPr>
                <w:rFonts w:ascii="Arial Narrow" w:hAnsi="Arial Narrow"/>
                <w:sz w:val="22"/>
                <w:szCs w:val="22"/>
              </w:rPr>
              <w:t>Emicizumab</w:t>
            </w:r>
            <w:proofErr w:type="spellEnd"/>
            <w:r w:rsidRPr="00D62803">
              <w:rPr>
                <w:rFonts w:ascii="Arial Narrow" w:hAnsi="Arial Narrow"/>
                <w:sz w:val="22"/>
                <w:szCs w:val="22"/>
              </w:rPr>
              <w:t>) werden gewichtsabhängig verabreicht. Eine direkte Vergleichbarkeit der Kosten ist daher schwierig.</w:t>
            </w:r>
          </w:p>
          <w:p w14:paraId="54098E49" w14:textId="77777777" w:rsidR="002D1DE8" w:rsidRPr="002D1DE8" w:rsidRDefault="002D1DE8" w:rsidP="002D1DE8">
            <w:pPr>
              <w:rPr>
                <w:rFonts w:ascii="Arial Narrow" w:hAnsi="Arial Narrow"/>
                <w:sz w:val="22"/>
                <w:szCs w:val="22"/>
              </w:rPr>
            </w:pPr>
            <w:r w:rsidRPr="002D1DE8">
              <w:rPr>
                <w:rFonts w:ascii="Arial Narrow" w:hAnsi="Arial Narrow"/>
                <w:sz w:val="22"/>
                <w:szCs w:val="22"/>
              </w:rPr>
              <w:t xml:space="preserve">Personalkosten: </w:t>
            </w:r>
          </w:p>
          <w:p w14:paraId="2085D720" w14:textId="77777777" w:rsidR="002D1DE8" w:rsidRDefault="002D1DE8" w:rsidP="002D1DE8">
            <w:pPr>
              <w:rPr>
                <w:rFonts w:ascii="Arial Narrow" w:hAnsi="Arial Narrow"/>
                <w:sz w:val="22"/>
                <w:szCs w:val="22"/>
              </w:rPr>
            </w:pPr>
            <w:r w:rsidRPr="002D1DE8">
              <w:rPr>
                <w:rFonts w:ascii="Arial Narrow" w:hAnsi="Arial Narrow"/>
                <w:sz w:val="22"/>
                <w:szCs w:val="22"/>
              </w:rPr>
              <w:t>Apotheke: Entnahme und Prüfung ca. 5 Minuten (Entnahme aus dem Kühlschrank, Sichtprüfung, Dokumentation, Übergabe)</w:t>
            </w:r>
          </w:p>
          <w:p w14:paraId="0B68FCFB" w14:textId="1C7DC89C" w:rsidR="002D1DE8" w:rsidRPr="002D1DE8" w:rsidRDefault="002D1DE8" w:rsidP="002D1DE8">
            <w:pPr>
              <w:rPr>
                <w:rFonts w:ascii="Arial Narrow" w:hAnsi="Arial Narrow"/>
                <w:sz w:val="22"/>
                <w:szCs w:val="22"/>
              </w:rPr>
            </w:pPr>
            <w:r w:rsidRPr="002D1DE8">
              <w:rPr>
                <w:rFonts w:ascii="Arial Narrow" w:hAnsi="Arial Narrow"/>
                <w:sz w:val="22"/>
                <w:szCs w:val="22"/>
              </w:rPr>
              <w:t xml:space="preserve">Applikationsvorbereitung &amp; Injektion: ca. 5 Minuten, ÄD (Identitätsprüfung, Aufklärung, Injektion </w:t>
            </w:r>
            <w:proofErr w:type="spellStart"/>
            <w:r w:rsidRPr="002D1DE8">
              <w:rPr>
                <w:rFonts w:ascii="Arial Narrow" w:hAnsi="Arial Narrow"/>
                <w:sz w:val="22"/>
                <w:szCs w:val="22"/>
              </w:rPr>
              <w:t>Fertigpen</w:t>
            </w:r>
            <w:proofErr w:type="spellEnd"/>
            <w:r w:rsidRPr="002D1DE8">
              <w:rPr>
                <w:rFonts w:ascii="Arial Narrow" w:hAnsi="Arial Narrow"/>
                <w:sz w:val="22"/>
                <w:szCs w:val="22"/>
              </w:rPr>
              <w:t>)</w:t>
            </w:r>
          </w:p>
          <w:p w14:paraId="55BDDDDB" w14:textId="77777777" w:rsidR="002D1DE8" w:rsidRPr="002D1DE8" w:rsidRDefault="002D1DE8" w:rsidP="002D1DE8">
            <w:pPr>
              <w:rPr>
                <w:rFonts w:ascii="Arial Narrow" w:hAnsi="Arial Narrow"/>
                <w:sz w:val="22"/>
                <w:szCs w:val="22"/>
              </w:rPr>
            </w:pPr>
            <w:r w:rsidRPr="002D1DE8">
              <w:rPr>
                <w:rFonts w:ascii="Arial Narrow" w:hAnsi="Arial Narrow"/>
                <w:sz w:val="22"/>
                <w:szCs w:val="22"/>
              </w:rPr>
              <w:t>Assistenz bei Applikation: ca. 5 Minuten, PD (Unterstützung bei Lagerung, Positionierung, ggf. Dokumentation)</w:t>
            </w:r>
          </w:p>
          <w:p w14:paraId="274D30D1" w14:textId="35E836D0" w:rsidR="002D1DE8" w:rsidRPr="002D1DE8" w:rsidRDefault="002D1DE8" w:rsidP="002D1DE8">
            <w:pPr>
              <w:rPr>
                <w:rFonts w:ascii="Arial Narrow" w:hAnsi="Arial Narrow"/>
                <w:sz w:val="22"/>
                <w:szCs w:val="22"/>
              </w:rPr>
            </w:pPr>
            <w:r w:rsidRPr="002D1DE8">
              <w:rPr>
                <w:rFonts w:ascii="Arial Narrow" w:hAnsi="Arial Narrow"/>
                <w:sz w:val="22"/>
                <w:szCs w:val="22"/>
              </w:rPr>
              <w:t>Überwachung nach der Applikation: ca. 30 Minuten, PD (Beobachtung auf unerwünschte Reaktionen, insbesondere bei Erstgaben)</w:t>
            </w:r>
          </w:p>
          <w:p w14:paraId="57569638" w14:textId="77777777" w:rsidR="002D1DE8" w:rsidRPr="002D1DE8" w:rsidRDefault="002D1DE8" w:rsidP="002D1DE8">
            <w:pPr>
              <w:rPr>
                <w:rFonts w:ascii="Arial Narrow" w:hAnsi="Arial Narrow"/>
                <w:sz w:val="22"/>
                <w:szCs w:val="22"/>
              </w:rPr>
            </w:pPr>
            <w:r w:rsidRPr="002D1DE8">
              <w:rPr>
                <w:rFonts w:ascii="Arial Narrow" w:hAnsi="Arial Narrow"/>
                <w:sz w:val="22"/>
                <w:szCs w:val="22"/>
              </w:rPr>
              <w:t>Ärztliche Kontrolle während Überwachung: ca. 10 Minuten, ÄD</w:t>
            </w:r>
          </w:p>
          <w:p w14:paraId="16B71469" w14:textId="1BF8266A" w:rsidR="002D1DE8" w:rsidRPr="002D1DE8" w:rsidRDefault="002D1DE8" w:rsidP="002D1DE8">
            <w:pPr>
              <w:rPr>
                <w:rFonts w:ascii="Arial Narrow" w:hAnsi="Arial Narrow"/>
                <w:sz w:val="22"/>
                <w:szCs w:val="22"/>
              </w:rPr>
            </w:pPr>
            <w:r w:rsidRPr="002D1DE8">
              <w:rPr>
                <w:rFonts w:ascii="Arial Narrow" w:hAnsi="Arial Narrow"/>
                <w:sz w:val="22"/>
                <w:szCs w:val="22"/>
              </w:rPr>
              <w:t>Da das Medikament eine Dauertherapie ist, geschieht es nicht so häufig, dass ein Patient für die Gabe aufgenommen wird und somit in die organspezifische DRG gruppiert wird.</w:t>
            </w:r>
            <w:r>
              <w:rPr>
                <w:rFonts w:ascii="Arial Narrow" w:hAnsi="Arial Narrow"/>
                <w:sz w:val="22"/>
                <w:szCs w:val="22"/>
              </w:rPr>
              <w:t xml:space="preserve"> </w:t>
            </w:r>
            <w:r w:rsidRPr="002D1DE8">
              <w:rPr>
                <w:rFonts w:ascii="Arial Narrow" w:hAnsi="Arial Narrow"/>
                <w:sz w:val="22"/>
                <w:szCs w:val="22"/>
              </w:rPr>
              <w:t xml:space="preserve">Höchstwahrscheinlich kommt es sehr viel häufiger vor, dass der Patient wegen einer anderen Erkrankung aufgenommen wird und diese Medikation als seine Dauermedikation auch bei anderen med. Problemen erhält. </w:t>
            </w:r>
          </w:p>
          <w:p w14:paraId="0E7570D6" w14:textId="4A9F94D7" w:rsidR="003151FB" w:rsidRPr="005B423B" w:rsidRDefault="002D1DE8" w:rsidP="002D1DE8">
            <w:r w:rsidRPr="002D1DE8">
              <w:rPr>
                <w:rFonts w:ascii="Arial Narrow" w:hAnsi="Arial Narrow"/>
                <w:sz w:val="22"/>
                <w:szCs w:val="22"/>
              </w:rPr>
              <w:t xml:space="preserve">Die Kosten für dieses Medikament werden daher in allen DRG vorkommen können und sind </w:t>
            </w:r>
            <w:proofErr w:type="spellStart"/>
            <w:r w:rsidRPr="002D1DE8">
              <w:rPr>
                <w:rFonts w:ascii="Arial Narrow" w:hAnsi="Arial Narrow"/>
                <w:sz w:val="22"/>
                <w:szCs w:val="22"/>
              </w:rPr>
              <w:t>möglicherweiseauch</w:t>
            </w:r>
            <w:proofErr w:type="spellEnd"/>
            <w:r w:rsidRPr="002D1DE8">
              <w:rPr>
                <w:rFonts w:ascii="Arial Narrow" w:hAnsi="Arial Narrow"/>
                <w:sz w:val="22"/>
                <w:szCs w:val="22"/>
              </w:rPr>
              <w:t xml:space="preserve"> nicht konkret dem Fall zugeordnet.</w:t>
            </w:r>
          </w:p>
        </w:tc>
      </w:tr>
    </w:tbl>
    <w:p w14:paraId="5BACFC99" w14:textId="214F38F6"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7BB225D5"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663549F"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Welche DRG(s) ist/sind am häufigsten von dieser Methode betroffen?</w:t>
            </w:r>
          </w:p>
        </w:tc>
      </w:tr>
      <w:tr w:rsidR="003151FB" w:rsidRPr="003151FB" w14:paraId="66134007" w14:textId="77777777" w:rsidTr="002D1DE8">
        <w:trPr>
          <w:trHeight w:val="238"/>
        </w:trPr>
        <w:tc>
          <w:tcPr>
            <w:tcW w:w="9215" w:type="dxa"/>
            <w:tcBorders>
              <w:top w:val="single" w:sz="4" w:space="0" w:color="000000"/>
              <w:left w:val="single" w:sz="4" w:space="0" w:color="000000"/>
              <w:bottom w:val="single" w:sz="4" w:space="0" w:color="000000"/>
              <w:right w:val="single" w:sz="4" w:space="0" w:color="000000"/>
            </w:tcBorders>
            <w:hideMark/>
          </w:tcPr>
          <w:p w14:paraId="7C6266EB" w14:textId="7884A8C9" w:rsidR="003151FB" w:rsidRPr="00D62803" w:rsidRDefault="003151FB" w:rsidP="003151FB">
            <w:pPr>
              <w:spacing w:after="0"/>
              <w:rPr>
                <w:rFonts w:ascii="Arial Narrow" w:hAnsi="Arial Narrow"/>
                <w:sz w:val="22"/>
                <w:szCs w:val="22"/>
              </w:rPr>
            </w:pPr>
          </w:p>
        </w:tc>
      </w:tr>
    </w:tbl>
    <w:p w14:paraId="0B8C33B9"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948AA5C"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CA8F842"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Warum ist diese Methode aus Ihrer Sicht derzeit im G-DRG-System nicht sachgerecht abgebildet?</w:t>
            </w:r>
          </w:p>
        </w:tc>
      </w:tr>
      <w:tr w:rsidR="003151FB" w:rsidRPr="003151FB" w14:paraId="38E16F27" w14:textId="77777777" w:rsidTr="002D1DE8">
        <w:trPr>
          <w:trHeight w:val="1725"/>
        </w:trPr>
        <w:tc>
          <w:tcPr>
            <w:tcW w:w="9215" w:type="dxa"/>
            <w:tcBorders>
              <w:top w:val="single" w:sz="4" w:space="0" w:color="000000"/>
              <w:left w:val="single" w:sz="4" w:space="0" w:color="000000"/>
              <w:bottom w:val="single" w:sz="4" w:space="0" w:color="000000"/>
              <w:right w:val="single" w:sz="4" w:space="0" w:color="000000"/>
            </w:tcBorders>
            <w:hideMark/>
          </w:tcPr>
          <w:p w14:paraId="3693E94D" w14:textId="77777777" w:rsidR="002D1DE8" w:rsidRPr="002D1DE8" w:rsidRDefault="002D1DE8" w:rsidP="002D1DE8">
            <w:pPr>
              <w:spacing w:after="0"/>
              <w:rPr>
                <w:rFonts w:ascii="Arial Narrow" w:hAnsi="Arial Narrow"/>
                <w:sz w:val="22"/>
                <w:szCs w:val="22"/>
              </w:rPr>
            </w:pPr>
            <w:proofErr w:type="spellStart"/>
            <w:r w:rsidRPr="002D1DE8">
              <w:rPr>
                <w:rFonts w:ascii="Arial Narrow" w:hAnsi="Arial Narrow"/>
                <w:sz w:val="22"/>
                <w:szCs w:val="22"/>
              </w:rPr>
              <w:t>Marstacimab</w:t>
            </w:r>
            <w:proofErr w:type="spellEnd"/>
            <w:r w:rsidRPr="002D1DE8">
              <w:rPr>
                <w:rFonts w:ascii="Arial Narrow" w:hAnsi="Arial Narrow"/>
                <w:sz w:val="22"/>
                <w:szCs w:val="22"/>
              </w:rPr>
              <w:t xml:space="preserve"> wurde am 18. November 2024 zugelassen und ist seit dem 1. Februar 2025 auf dem deutschen </w:t>
            </w:r>
          </w:p>
          <w:p w14:paraId="636A04EA" w14:textId="77777777" w:rsidR="002D1DE8" w:rsidRPr="002D1DE8" w:rsidRDefault="002D1DE8" w:rsidP="002D1DE8">
            <w:pPr>
              <w:spacing w:after="0"/>
              <w:rPr>
                <w:rFonts w:ascii="Arial Narrow" w:hAnsi="Arial Narrow"/>
                <w:sz w:val="22"/>
                <w:szCs w:val="22"/>
              </w:rPr>
            </w:pPr>
            <w:r w:rsidRPr="002D1DE8">
              <w:rPr>
                <w:rFonts w:ascii="Arial Narrow" w:hAnsi="Arial Narrow"/>
                <w:sz w:val="22"/>
                <w:szCs w:val="22"/>
              </w:rPr>
              <w:t xml:space="preserve">Markt verfügbar. Für das Datenjahr 2024 können daher aus den Kalkulationshäusern keine Kostendaten für den </w:t>
            </w:r>
          </w:p>
          <w:p w14:paraId="754B6BF5" w14:textId="77777777" w:rsidR="002D1DE8" w:rsidRPr="002D1DE8" w:rsidRDefault="002D1DE8" w:rsidP="002D1DE8">
            <w:pPr>
              <w:spacing w:after="0"/>
              <w:rPr>
                <w:rFonts w:ascii="Arial Narrow" w:hAnsi="Arial Narrow"/>
                <w:sz w:val="22"/>
                <w:szCs w:val="22"/>
              </w:rPr>
            </w:pPr>
            <w:r w:rsidRPr="002D1DE8">
              <w:rPr>
                <w:rFonts w:ascii="Arial Narrow" w:hAnsi="Arial Narrow"/>
                <w:sz w:val="22"/>
                <w:szCs w:val="22"/>
              </w:rPr>
              <w:t>Einsatz vorliegen. Eine sachgerechte Abbildung im G-DRG System 2026 wird damit nicht möglich.</w:t>
            </w:r>
          </w:p>
          <w:p w14:paraId="697985DF" w14:textId="77777777" w:rsidR="002D1DE8" w:rsidRPr="002D1DE8" w:rsidRDefault="002D1DE8" w:rsidP="002D1DE8">
            <w:pPr>
              <w:spacing w:after="0"/>
              <w:rPr>
                <w:rFonts w:ascii="Arial Narrow" w:hAnsi="Arial Narrow"/>
                <w:sz w:val="22"/>
                <w:szCs w:val="22"/>
              </w:rPr>
            </w:pPr>
            <w:r w:rsidRPr="002D1DE8">
              <w:rPr>
                <w:rFonts w:ascii="Arial Narrow" w:hAnsi="Arial Narrow"/>
                <w:sz w:val="22"/>
                <w:szCs w:val="22"/>
              </w:rPr>
              <w:t xml:space="preserve">Die hohen Wochentherapiekosten von ca. 7.250 bis 14.500 € von </w:t>
            </w:r>
            <w:proofErr w:type="spellStart"/>
            <w:r w:rsidRPr="002D1DE8">
              <w:rPr>
                <w:rFonts w:ascii="Arial Narrow" w:hAnsi="Arial Narrow"/>
                <w:sz w:val="22"/>
                <w:szCs w:val="22"/>
              </w:rPr>
              <w:t>Marstacimab</w:t>
            </w:r>
            <w:proofErr w:type="spellEnd"/>
            <w:r w:rsidRPr="002D1DE8">
              <w:rPr>
                <w:rFonts w:ascii="Arial Narrow" w:hAnsi="Arial Narrow"/>
                <w:sz w:val="22"/>
                <w:szCs w:val="22"/>
              </w:rPr>
              <w:t xml:space="preserve"> können aber mit der/den </w:t>
            </w:r>
          </w:p>
          <w:p w14:paraId="183B6013" w14:textId="7A76101D" w:rsidR="003151FB" w:rsidRPr="003151FB" w:rsidRDefault="002D1DE8" w:rsidP="002D1DE8">
            <w:pPr>
              <w:spacing w:after="0"/>
              <w:rPr>
                <w:rFonts w:ascii="Arial Narrow" w:hAnsi="Arial Narrow"/>
                <w:sz w:val="22"/>
                <w:szCs w:val="22"/>
              </w:rPr>
            </w:pPr>
            <w:r w:rsidRPr="002D1DE8">
              <w:rPr>
                <w:rFonts w:ascii="Arial Narrow" w:hAnsi="Arial Narrow"/>
                <w:sz w:val="22"/>
                <w:szCs w:val="22"/>
              </w:rPr>
              <w:t>betroffenen Fallpauschale(n) allein nicht ausreichend abgebildet werden. Aufgrund der hohen Kosten des Medikaments kommt es zu einer Unterfinanzierung in den entsprechenden</w:t>
            </w:r>
            <w:r>
              <w:rPr>
                <w:rFonts w:ascii="Arial Narrow" w:hAnsi="Arial Narrow"/>
                <w:sz w:val="22"/>
                <w:szCs w:val="22"/>
              </w:rPr>
              <w:t xml:space="preserve"> </w:t>
            </w:r>
            <w:bookmarkStart w:id="0" w:name="_GoBack"/>
            <w:bookmarkEnd w:id="0"/>
            <w:r w:rsidRPr="002D1DE8">
              <w:rPr>
                <w:rFonts w:ascii="Arial Narrow" w:hAnsi="Arial Narrow"/>
                <w:sz w:val="22"/>
                <w:szCs w:val="22"/>
              </w:rPr>
              <w:t>Fällen der betroffenen DRG(s)</w:t>
            </w:r>
            <w:r>
              <w:rPr>
                <w:rFonts w:ascii="Arial Narrow" w:hAnsi="Arial Narrow"/>
                <w:sz w:val="22"/>
                <w:szCs w:val="22"/>
              </w:rPr>
              <w:t>.</w:t>
            </w:r>
          </w:p>
        </w:tc>
      </w:tr>
    </w:tbl>
    <w:p w14:paraId="20A510D5" w14:textId="77777777" w:rsidR="003151FB" w:rsidRDefault="003151FB" w:rsidP="002D1DE8"/>
    <w:sectPr w:rsidR="003151FB">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31634" w14:textId="77777777" w:rsidR="00142E25" w:rsidRDefault="00142E25" w:rsidP="006A7E7F">
      <w:pPr>
        <w:spacing w:after="0" w:line="240" w:lineRule="auto"/>
      </w:pPr>
      <w:r>
        <w:separator/>
      </w:r>
    </w:p>
  </w:endnote>
  <w:endnote w:type="continuationSeparator" w:id="0">
    <w:p w14:paraId="5B7ED6DA" w14:textId="77777777" w:rsidR="00142E25" w:rsidRDefault="00142E25" w:rsidP="006A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E1E6" w14:textId="128A5E52" w:rsidR="006E77D7" w:rsidRPr="00DF7263" w:rsidRDefault="006E77D7" w:rsidP="002D1DE8">
    <w:pPr>
      <w:pStyle w:val="Fuzeile"/>
      <w:rPr>
        <w:rFonts w:ascii="Arial Narrow" w:hAnsi="Arial Narrow"/>
        <w:sz w:val="22"/>
        <w:szCs w:val="22"/>
      </w:rPr>
    </w:pPr>
    <w:r w:rsidRPr="00DF7263">
      <w:rPr>
        <w:rFonts w:ascii="Arial Narrow" w:hAnsi="Arial Narrow"/>
        <w:sz w:val="22"/>
        <w:szCs w:val="22"/>
      </w:rPr>
      <w:t xml:space="preserve">NUB-Musteranfrage </w:t>
    </w:r>
    <w:proofErr w:type="spellStart"/>
    <w:r w:rsidR="00310706">
      <w:rPr>
        <w:rFonts w:ascii="Arial Narrow" w:hAnsi="Arial Narrow"/>
        <w:sz w:val="22"/>
        <w:szCs w:val="22"/>
      </w:rPr>
      <w:t>M</w:t>
    </w:r>
    <w:r w:rsidR="002D1DE8">
      <w:rPr>
        <w:rFonts w:ascii="Arial Narrow" w:hAnsi="Arial Narrow"/>
        <w:sz w:val="22"/>
        <w:szCs w:val="22"/>
      </w:rPr>
      <w:t>arstacimab</w:t>
    </w:r>
    <w:proofErr w:type="spellEnd"/>
  </w:p>
  <w:p w14:paraId="6C77F06C" w14:textId="77777777" w:rsidR="006E77D7" w:rsidRPr="00DF7263" w:rsidRDefault="002D1DE8" w:rsidP="006E77D7">
    <w:pPr>
      <w:pStyle w:val="Fuzeile"/>
      <w:rPr>
        <w:rFonts w:ascii="Arial Narrow" w:hAnsi="Arial Narrow"/>
        <w:sz w:val="22"/>
        <w:szCs w:val="22"/>
      </w:rPr>
    </w:pPr>
    <w:hyperlink r:id="rId1" w:history="1">
      <w:r w:rsidR="006E77D7" w:rsidRPr="00DF7263">
        <w:rPr>
          <w:rStyle w:val="Hyperlink"/>
          <w:rFonts w:ascii="Arial Narrow" w:hAnsi="Arial Narrow"/>
          <w:sz w:val="22"/>
          <w:szCs w:val="22"/>
        </w:rPr>
        <w:t>Arbeitskreis DRG und Gesundheitsökonomie der Deutschen Gesellschaft für Hämatologie und medizinische Onkologie e.V.</w:t>
      </w:r>
    </w:hyperlink>
    <w:r w:rsidR="006E77D7" w:rsidRPr="00DF7263">
      <w:rPr>
        <w:rFonts w:ascii="Arial Narrow" w:hAnsi="Arial Narrow"/>
        <w:sz w:val="22"/>
        <w:szCs w:val="22"/>
      </w:rPr>
      <w:t xml:space="preserve"> </w:t>
    </w:r>
  </w:p>
  <w:p w14:paraId="504F3E18" w14:textId="77777777" w:rsidR="006E77D7" w:rsidRPr="00DF7263" w:rsidRDefault="002D1DE8" w:rsidP="006E77D7">
    <w:pPr>
      <w:pStyle w:val="Fuzeile"/>
      <w:rPr>
        <w:rFonts w:ascii="Arial Narrow" w:hAnsi="Arial Narrow"/>
        <w:sz w:val="22"/>
        <w:szCs w:val="22"/>
      </w:rPr>
    </w:pPr>
    <w:hyperlink r:id="rId2" w:history="1">
      <w:r w:rsidR="006E77D7" w:rsidRPr="00DF7263">
        <w:rPr>
          <w:rStyle w:val="Hyperlink"/>
          <w:rFonts w:ascii="Arial Narrow" w:hAnsi="Arial Narrow"/>
          <w:sz w:val="22"/>
          <w:szCs w:val="22"/>
        </w:rPr>
        <w:t>www.dgho.de</w:t>
      </w:r>
    </w:hyperlink>
  </w:p>
  <w:p w14:paraId="0B0DF710" w14:textId="6EB43413" w:rsidR="006E77D7" w:rsidRPr="00DF7263" w:rsidRDefault="006E77D7" w:rsidP="006E77D7">
    <w:pPr>
      <w:pStyle w:val="Fuzeile"/>
      <w:rPr>
        <w:rFonts w:ascii="Arial Narrow" w:hAnsi="Arial Narrow"/>
        <w:sz w:val="22"/>
        <w:szCs w:val="22"/>
      </w:rPr>
    </w:pPr>
    <w:r w:rsidRPr="00DF7263">
      <w:rPr>
        <w:rFonts w:ascii="Arial Narrow" w:hAnsi="Arial Narrow"/>
        <w:sz w:val="22"/>
        <w:szCs w:val="22"/>
      </w:rPr>
      <w:t xml:space="preserve">Seite </w:t>
    </w:r>
    <w:r w:rsidRPr="00DF7263">
      <w:rPr>
        <w:rFonts w:ascii="Arial Narrow" w:hAnsi="Arial Narrow"/>
        <w:sz w:val="22"/>
        <w:szCs w:val="22"/>
      </w:rPr>
      <w:fldChar w:fldCharType="begin"/>
    </w:r>
    <w:r w:rsidRPr="00DF7263">
      <w:rPr>
        <w:rFonts w:ascii="Arial Narrow" w:hAnsi="Arial Narrow"/>
        <w:sz w:val="22"/>
        <w:szCs w:val="22"/>
      </w:rPr>
      <w:instrText xml:space="preserve"> PAGE </w:instrText>
    </w:r>
    <w:r w:rsidRPr="00DF7263">
      <w:rPr>
        <w:rFonts w:ascii="Arial Narrow" w:hAnsi="Arial Narrow"/>
        <w:sz w:val="22"/>
        <w:szCs w:val="22"/>
      </w:rPr>
      <w:fldChar w:fldCharType="separate"/>
    </w:r>
    <w:r w:rsidR="002D1DE8">
      <w:rPr>
        <w:rFonts w:ascii="Arial Narrow" w:hAnsi="Arial Narrow"/>
        <w:noProof/>
        <w:sz w:val="22"/>
        <w:szCs w:val="22"/>
      </w:rPr>
      <w:t>1</w:t>
    </w:r>
    <w:r w:rsidRPr="00DF7263">
      <w:rPr>
        <w:rFonts w:ascii="Arial Narrow" w:hAnsi="Arial Narrow"/>
        <w:sz w:val="22"/>
        <w:szCs w:val="22"/>
      </w:rPr>
      <w:fldChar w:fldCharType="end"/>
    </w:r>
    <w:r w:rsidRPr="00DF7263">
      <w:rPr>
        <w:rFonts w:ascii="Arial Narrow" w:hAnsi="Arial Narrow"/>
        <w:sz w:val="22"/>
        <w:szCs w:val="22"/>
      </w:rPr>
      <w:t xml:space="preserve"> von 4</w:t>
    </w:r>
  </w:p>
  <w:p w14:paraId="31CBDA35" w14:textId="78FB6AD7" w:rsidR="006E77D7" w:rsidRPr="00FE5A81" w:rsidRDefault="002D1DE8" w:rsidP="00310706">
    <w:pPr>
      <w:pStyle w:val="Fuzeile"/>
      <w:rPr>
        <w:rFonts w:ascii="Arial Narrow" w:hAnsi="Arial Narrow"/>
        <w:sz w:val="22"/>
        <w:szCs w:val="22"/>
        <w:lang w:val="en-US"/>
      </w:rPr>
    </w:pPr>
    <w:r>
      <w:rPr>
        <w:rFonts w:ascii="Arial Narrow" w:hAnsi="Arial Narrow"/>
        <w:sz w:val="22"/>
        <w:szCs w:val="22"/>
        <w:lang w:val="en-US"/>
      </w:rPr>
      <w:t>26-169</w:t>
    </w:r>
    <w:r w:rsidR="006E77D7" w:rsidRPr="00FE5A81">
      <w:rPr>
        <w:rFonts w:ascii="Arial Narrow" w:hAnsi="Arial Narrow"/>
        <w:sz w:val="22"/>
        <w:szCs w:val="22"/>
        <w:lang w:val="en-US"/>
      </w:rPr>
      <w:t xml:space="preserve"> </w:t>
    </w:r>
    <w:proofErr w:type="spellStart"/>
    <w:r>
      <w:rPr>
        <w:rFonts w:ascii="Arial Narrow" w:hAnsi="Arial Narrow"/>
        <w:sz w:val="22"/>
        <w:szCs w:val="22"/>
        <w:lang w:val="en-US"/>
      </w:rPr>
      <w:t>Marstacimab</w:t>
    </w:r>
    <w:proofErr w:type="spellEnd"/>
    <w:r w:rsidR="006E77D7" w:rsidRPr="00FE5A81">
      <w:rPr>
        <w:rFonts w:ascii="Arial Narrow" w:hAnsi="Arial Narrow"/>
        <w:sz w:val="22"/>
        <w:szCs w:val="22"/>
        <w:lang w:val="en-US"/>
      </w:rPr>
      <w:t xml:space="preserve"> NUB-</w:t>
    </w:r>
    <w:proofErr w:type="spellStart"/>
    <w:r w:rsidR="006E77D7" w:rsidRPr="00FE5A81">
      <w:rPr>
        <w:rFonts w:ascii="Arial Narrow" w:hAnsi="Arial Narrow"/>
        <w:sz w:val="22"/>
        <w:szCs w:val="22"/>
        <w:lang w:val="en-US"/>
      </w:rPr>
      <w:t>Anfrage</w:t>
    </w:r>
    <w:proofErr w:type="spellEnd"/>
    <w:r w:rsidR="006E77D7" w:rsidRPr="00FE5A81">
      <w:rPr>
        <w:rFonts w:ascii="Arial Narrow" w:hAnsi="Arial Narrow"/>
        <w:sz w:val="22"/>
        <w:szCs w:val="22"/>
        <w:lang w:val="en-US"/>
      </w:rPr>
      <w:t>-</w:t>
    </w:r>
    <w:proofErr w:type="spellStart"/>
    <w:r w:rsidR="006E77D7" w:rsidRPr="00FE5A81">
      <w:rPr>
        <w:rFonts w:ascii="Arial Narrow" w:hAnsi="Arial Narrow"/>
        <w:sz w:val="22"/>
        <w:szCs w:val="22"/>
        <w:lang w:val="en-US"/>
      </w:rPr>
      <w:t>DGHO_Stand</w:t>
    </w:r>
    <w:proofErr w:type="spellEnd"/>
    <w:r w:rsidR="006E77D7" w:rsidRPr="00FE5A81">
      <w:rPr>
        <w:rFonts w:ascii="Arial Narrow" w:hAnsi="Arial Narrow"/>
        <w:sz w:val="22"/>
        <w:szCs w:val="22"/>
        <w:lang w:val="en-US"/>
      </w:rPr>
      <w:t xml:space="preserve"> 202</w:t>
    </w:r>
    <w:r w:rsidR="009E6C3A">
      <w:rPr>
        <w:rFonts w:ascii="Arial Narrow" w:hAnsi="Arial Narrow"/>
        <w:sz w:val="22"/>
        <w:szCs w:val="22"/>
        <w:lang w:val="en-US"/>
      </w:rPr>
      <w:t>5</w:t>
    </w:r>
    <w:r>
      <w:rPr>
        <w:rFonts w:ascii="Arial Narrow" w:hAnsi="Arial Narrow"/>
        <w:sz w:val="22"/>
        <w:szCs w:val="22"/>
        <w:lang w:val="en-US"/>
      </w:rPr>
      <w:t>-10-02</w:t>
    </w:r>
    <w:r w:rsidR="006E77D7" w:rsidRPr="00FE5A81">
      <w:rPr>
        <w:rFonts w:ascii="Arial Narrow" w:hAnsi="Arial Narrow"/>
        <w:sz w:val="22"/>
        <w:szCs w:val="22"/>
        <w:lang w:val="en-US"/>
      </w:rPr>
      <w:t xml:space="preserve"> final</w:t>
    </w:r>
  </w:p>
  <w:p w14:paraId="4B6A3E8C" w14:textId="74E2CBD4" w:rsidR="005B35E5" w:rsidRPr="00DF7263" w:rsidRDefault="005B35E5" w:rsidP="003151FB">
    <w:pPr>
      <w:pStyle w:val="Fuzeile"/>
      <w:rPr>
        <w:rFonts w:ascii="Arial Narrow" w:hAnsi="Arial Narrow"/>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F4866" w14:textId="77777777" w:rsidR="00142E25" w:rsidRDefault="00142E25" w:rsidP="006A7E7F">
      <w:pPr>
        <w:spacing w:after="0" w:line="240" w:lineRule="auto"/>
      </w:pPr>
      <w:r>
        <w:separator/>
      </w:r>
    </w:p>
  </w:footnote>
  <w:footnote w:type="continuationSeparator" w:id="0">
    <w:p w14:paraId="5577DA46" w14:textId="77777777" w:rsidR="00142E25" w:rsidRDefault="00142E25" w:rsidP="006A7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8DDC1" w14:textId="0B0B9DC4" w:rsidR="006A7E7F" w:rsidRPr="006A7E7F" w:rsidRDefault="006A7E7F" w:rsidP="006A7E7F">
    <w:pPr>
      <w:pStyle w:val="Kopfzeile"/>
      <w:rPr>
        <w:rFonts w:ascii="Lucida Sans Unicode" w:hAnsi="Lucida Sans Unicode" w:cs="Lucida Sans Unicode"/>
        <w:sz w:val="48"/>
        <w:szCs w:val="48"/>
      </w:rPr>
    </w:pPr>
    <w:r w:rsidRPr="006A7E7F">
      <w:rPr>
        <w:rFonts w:ascii="Lucida Sans Unicode" w:hAnsi="Lucida Sans Unicode" w:cs="Lucida Sans Unicode"/>
        <w:sz w:val="48"/>
        <w:szCs w:val="48"/>
      </w:rPr>
      <w:t>NUB Antrag 202</w:t>
    </w:r>
    <w:r w:rsidR="00FE5A81">
      <w:rPr>
        <w:rFonts w:ascii="Lucida Sans Unicode" w:hAnsi="Lucida Sans Unicode" w:cs="Lucida Sans Unicode"/>
        <w:sz w:val="48"/>
        <w:szCs w:val="48"/>
      </w:rPr>
      <w:t>5</w:t>
    </w:r>
    <w:r w:rsidRPr="006A7E7F">
      <w:rPr>
        <w:rFonts w:ascii="Lucida Sans Unicode" w:hAnsi="Lucida Sans Unicode" w:cs="Lucida Sans Unicode"/>
        <w:sz w:val="48"/>
        <w:szCs w:val="48"/>
      </w:rPr>
      <w:t>/202</w:t>
    </w:r>
    <w:r w:rsidR="00FE5A81">
      <w:rPr>
        <w:rFonts w:ascii="Lucida Sans Unicode" w:hAnsi="Lucida Sans Unicode" w:cs="Lucida Sans Unicode"/>
        <w:sz w:val="48"/>
        <w:szCs w:val="48"/>
      </w:rPr>
      <w:t>6</w:t>
    </w:r>
  </w:p>
  <w:p w14:paraId="52D01C37" w14:textId="5F5D7392" w:rsidR="006A7E7F" w:rsidRPr="006A7E7F" w:rsidRDefault="00D62803" w:rsidP="006A7E7F">
    <w:pPr>
      <w:pStyle w:val="Kopfzeile"/>
      <w:rPr>
        <w:rFonts w:ascii="Lucida Sans Unicode" w:hAnsi="Lucida Sans Unicode" w:cs="Lucida Sans Unicode"/>
        <w:sz w:val="48"/>
        <w:szCs w:val="48"/>
      </w:rPr>
    </w:pPr>
    <w:proofErr w:type="spellStart"/>
    <w:r>
      <w:rPr>
        <w:rFonts w:ascii="Lucida Sans Unicode" w:hAnsi="Lucida Sans Unicode" w:cs="Lucida Sans Unicode"/>
        <w:sz w:val="48"/>
        <w:szCs w:val="48"/>
      </w:rPr>
      <w:t>Marstacimab</w:t>
    </w:r>
    <w:proofErr w:type="spellEnd"/>
  </w:p>
  <w:p w14:paraId="1A26884B" w14:textId="1AC09848" w:rsidR="006A7E7F" w:rsidRDefault="006A7E7F">
    <w:pPr>
      <w:pStyle w:val="Kopfzeile"/>
    </w:pPr>
    <w:r>
      <w:rPr>
        <w:noProof/>
        <w:lang w:eastAsia="de-DE"/>
      </w:rPr>
      <mc:AlternateContent>
        <mc:Choice Requires="wps">
          <w:drawing>
            <wp:anchor distT="0" distB="0" distL="114300" distR="114300" simplePos="0" relativeHeight="251659264" behindDoc="0" locked="0" layoutInCell="1" allowOverlap="1" wp14:anchorId="699EB2EF" wp14:editId="71A63DC7">
              <wp:simplePos x="0" y="0"/>
              <wp:positionH relativeFrom="column">
                <wp:posOffset>24129</wp:posOffset>
              </wp:positionH>
              <wp:positionV relativeFrom="paragraph">
                <wp:posOffset>61594</wp:posOffset>
              </wp:positionV>
              <wp:extent cx="5934075" cy="0"/>
              <wp:effectExtent l="0" t="0" r="0" b="0"/>
              <wp:wrapNone/>
              <wp:docPr id="660775914" name="Gerader Verbinder 1"/>
              <wp:cNvGraphicFramePr/>
              <a:graphic xmlns:a="http://schemas.openxmlformats.org/drawingml/2006/main">
                <a:graphicData uri="http://schemas.microsoft.com/office/word/2010/wordprocessingShape">
                  <wps:wsp>
                    <wps:cNvCnPr/>
                    <wps:spPr>
                      <a:xfrm flipV="1">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B01E16"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4.85pt" to="46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" strokecolor="#156082 [3204]" strokeweight=".5pt">
              <v:stroke joinstyle="miter"/>
            </v:line>
          </w:pict>
        </mc:Fallback>
      </mc:AlternateContent>
    </w:r>
  </w:p>
  <w:p w14:paraId="730EEA98" w14:textId="77777777" w:rsidR="006A7E7F" w:rsidRDefault="006A7E7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7F"/>
    <w:rsid w:val="000964CF"/>
    <w:rsid w:val="00142E25"/>
    <w:rsid w:val="00254FED"/>
    <w:rsid w:val="002D1DE8"/>
    <w:rsid w:val="002E1708"/>
    <w:rsid w:val="00310706"/>
    <w:rsid w:val="003151FB"/>
    <w:rsid w:val="003743A6"/>
    <w:rsid w:val="00432955"/>
    <w:rsid w:val="005B35E5"/>
    <w:rsid w:val="005B423B"/>
    <w:rsid w:val="006A7E7F"/>
    <w:rsid w:val="006E77D7"/>
    <w:rsid w:val="007F07AD"/>
    <w:rsid w:val="00814994"/>
    <w:rsid w:val="00926DED"/>
    <w:rsid w:val="00940E73"/>
    <w:rsid w:val="00986C9D"/>
    <w:rsid w:val="009E524A"/>
    <w:rsid w:val="009E6C3A"/>
    <w:rsid w:val="009F4595"/>
    <w:rsid w:val="00B204B2"/>
    <w:rsid w:val="00D62803"/>
    <w:rsid w:val="00DF7263"/>
    <w:rsid w:val="00E715D1"/>
    <w:rsid w:val="00E76233"/>
    <w:rsid w:val="00FE5A8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15C14"/>
  <w15:chartTrackingRefBased/>
  <w15:docId w15:val="{6902DF2D-E48C-4915-A219-963E15E8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A7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A7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A7E7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7E7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A7E7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7E7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7E7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7E7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7E7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7E7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7E7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7E7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7E7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7E7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7E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7E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7E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7E7F"/>
    <w:rPr>
      <w:rFonts w:eastAsiaTheme="majorEastAsia" w:cstheme="majorBidi"/>
      <w:color w:val="272727" w:themeColor="text1" w:themeTint="D8"/>
    </w:rPr>
  </w:style>
  <w:style w:type="paragraph" w:styleId="Titel">
    <w:name w:val="Title"/>
    <w:basedOn w:val="Standard"/>
    <w:next w:val="Standard"/>
    <w:link w:val="TitelZchn"/>
    <w:uiPriority w:val="10"/>
    <w:qFormat/>
    <w:rsid w:val="006A7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7E7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7E7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7E7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7E7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A7E7F"/>
    <w:rPr>
      <w:i/>
      <w:iCs/>
      <w:color w:val="404040" w:themeColor="text1" w:themeTint="BF"/>
    </w:rPr>
  </w:style>
  <w:style w:type="paragraph" w:styleId="Listenabsatz">
    <w:name w:val="List Paragraph"/>
    <w:basedOn w:val="Standard"/>
    <w:uiPriority w:val="34"/>
    <w:qFormat/>
    <w:rsid w:val="006A7E7F"/>
    <w:pPr>
      <w:ind w:left="720"/>
      <w:contextualSpacing/>
    </w:pPr>
  </w:style>
  <w:style w:type="character" w:styleId="IntensiveHervorhebung">
    <w:name w:val="Intense Emphasis"/>
    <w:basedOn w:val="Absatz-Standardschriftart"/>
    <w:uiPriority w:val="21"/>
    <w:qFormat/>
    <w:rsid w:val="006A7E7F"/>
    <w:rPr>
      <w:i/>
      <w:iCs/>
      <w:color w:val="0F4761" w:themeColor="accent1" w:themeShade="BF"/>
    </w:rPr>
  </w:style>
  <w:style w:type="paragraph" w:styleId="IntensivesZitat">
    <w:name w:val="Intense Quote"/>
    <w:basedOn w:val="Standard"/>
    <w:next w:val="Standard"/>
    <w:link w:val="IntensivesZitatZchn"/>
    <w:uiPriority w:val="30"/>
    <w:qFormat/>
    <w:rsid w:val="006A7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7E7F"/>
    <w:rPr>
      <w:i/>
      <w:iCs/>
      <w:color w:val="0F4761" w:themeColor="accent1" w:themeShade="BF"/>
    </w:rPr>
  </w:style>
  <w:style w:type="character" w:styleId="IntensiverVerweis">
    <w:name w:val="Intense Reference"/>
    <w:basedOn w:val="Absatz-Standardschriftart"/>
    <w:uiPriority w:val="32"/>
    <w:qFormat/>
    <w:rsid w:val="006A7E7F"/>
    <w:rPr>
      <w:b/>
      <w:bCs/>
      <w:smallCaps/>
      <w:color w:val="0F4761" w:themeColor="accent1" w:themeShade="BF"/>
      <w:spacing w:val="5"/>
    </w:rPr>
  </w:style>
  <w:style w:type="paragraph" w:styleId="Kopfzeile">
    <w:name w:val="header"/>
    <w:basedOn w:val="Standard"/>
    <w:link w:val="KopfzeileZchn"/>
    <w:uiPriority w:val="99"/>
    <w:unhideWhenUsed/>
    <w:rsid w:val="006A7E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7E7F"/>
  </w:style>
  <w:style w:type="paragraph" w:styleId="Fuzeile">
    <w:name w:val="footer"/>
    <w:basedOn w:val="Standard"/>
    <w:link w:val="FuzeileZchn"/>
    <w:uiPriority w:val="99"/>
    <w:unhideWhenUsed/>
    <w:rsid w:val="006A7E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7E7F"/>
  </w:style>
  <w:style w:type="paragraph" w:styleId="Textkrper">
    <w:name w:val="Body Text"/>
    <w:basedOn w:val="Standard"/>
    <w:link w:val="TextkrperZchn"/>
    <w:uiPriority w:val="99"/>
    <w:semiHidden/>
    <w:unhideWhenUsed/>
    <w:rsid w:val="006A7E7F"/>
    <w:pPr>
      <w:spacing w:after="120"/>
    </w:pPr>
  </w:style>
  <w:style w:type="character" w:customStyle="1" w:styleId="TextkrperZchn">
    <w:name w:val="Textkörper Zchn"/>
    <w:basedOn w:val="Absatz-Standardschriftart"/>
    <w:link w:val="Textkrper"/>
    <w:uiPriority w:val="99"/>
    <w:semiHidden/>
    <w:rsid w:val="006A7E7F"/>
  </w:style>
  <w:style w:type="character" w:styleId="Hyperlink">
    <w:name w:val="Hyperlink"/>
    <w:basedOn w:val="Absatz-Standardschriftart"/>
    <w:uiPriority w:val="99"/>
    <w:unhideWhenUsed/>
    <w:rsid w:val="006A7E7F"/>
    <w:rPr>
      <w:color w:val="467886" w:themeColor="hyperlink"/>
      <w:u w:val="single"/>
    </w:rPr>
  </w:style>
  <w:style w:type="character" w:customStyle="1" w:styleId="NichtaufgelsteErwhnung1">
    <w:name w:val="Nicht aufgelöste Erwähnung1"/>
    <w:basedOn w:val="Absatz-Standardschriftart"/>
    <w:uiPriority w:val="99"/>
    <w:semiHidden/>
    <w:unhideWhenUsed/>
    <w:rsid w:val="006A7E7F"/>
    <w:rPr>
      <w:color w:val="605E5C"/>
      <w:shd w:val="clear" w:color="auto" w:fill="E1DFDD"/>
    </w:rPr>
  </w:style>
  <w:style w:type="paragraph" w:styleId="berarbeitung">
    <w:name w:val="Revision"/>
    <w:hidden/>
    <w:uiPriority w:val="99"/>
    <w:semiHidden/>
    <w:rsid w:val="00254FED"/>
    <w:pPr>
      <w:spacing w:after="0" w:line="240" w:lineRule="auto"/>
    </w:pPr>
  </w:style>
  <w:style w:type="paragraph" w:styleId="Sprechblasentext">
    <w:name w:val="Balloon Text"/>
    <w:basedOn w:val="Standard"/>
    <w:link w:val="SprechblasentextZchn"/>
    <w:uiPriority w:val="99"/>
    <w:semiHidden/>
    <w:unhideWhenUsed/>
    <w:rsid w:val="006E77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77D7"/>
    <w:rPr>
      <w:rFonts w:ascii="Segoe UI" w:hAnsi="Segoe UI" w:cs="Segoe UI"/>
      <w:sz w:val="18"/>
      <w:szCs w:val="18"/>
    </w:rPr>
  </w:style>
  <w:style w:type="paragraph" w:customStyle="1" w:styleId="Default">
    <w:name w:val="Default"/>
    <w:rsid w:val="009E6C3A"/>
    <w:pPr>
      <w:autoSpaceDE w:val="0"/>
      <w:autoSpaceDN w:val="0"/>
      <w:adjustRightInd w:val="0"/>
      <w:spacing w:after="0" w:line="240" w:lineRule="auto"/>
    </w:pPr>
    <w:rPr>
      <w:rFonts w:ascii="Arial Narrow" w:hAnsi="Arial Narrow" w:cs="Arial Narrow"/>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6278">
      <w:bodyDiv w:val="1"/>
      <w:marLeft w:val="0"/>
      <w:marRight w:val="0"/>
      <w:marTop w:val="0"/>
      <w:marBottom w:val="0"/>
      <w:divBdr>
        <w:top w:val="none" w:sz="0" w:space="0" w:color="auto"/>
        <w:left w:val="none" w:sz="0" w:space="0" w:color="auto"/>
        <w:bottom w:val="none" w:sz="0" w:space="0" w:color="auto"/>
        <w:right w:val="none" w:sz="0" w:space="0" w:color="auto"/>
      </w:divBdr>
    </w:div>
    <w:div w:id="255796187">
      <w:bodyDiv w:val="1"/>
      <w:marLeft w:val="0"/>
      <w:marRight w:val="0"/>
      <w:marTop w:val="0"/>
      <w:marBottom w:val="0"/>
      <w:divBdr>
        <w:top w:val="none" w:sz="0" w:space="0" w:color="auto"/>
        <w:left w:val="none" w:sz="0" w:space="0" w:color="auto"/>
        <w:bottom w:val="none" w:sz="0" w:space="0" w:color="auto"/>
        <w:right w:val="none" w:sz="0" w:space="0" w:color="auto"/>
      </w:divBdr>
    </w:div>
    <w:div w:id="313728217">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67222283">
      <w:bodyDiv w:val="1"/>
      <w:marLeft w:val="0"/>
      <w:marRight w:val="0"/>
      <w:marTop w:val="0"/>
      <w:marBottom w:val="0"/>
      <w:divBdr>
        <w:top w:val="none" w:sz="0" w:space="0" w:color="auto"/>
        <w:left w:val="none" w:sz="0" w:space="0" w:color="auto"/>
        <w:bottom w:val="none" w:sz="0" w:space="0" w:color="auto"/>
        <w:right w:val="none" w:sz="0" w:space="0" w:color="auto"/>
      </w:divBdr>
    </w:div>
    <w:div w:id="446583213">
      <w:bodyDiv w:val="1"/>
      <w:marLeft w:val="0"/>
      <w:marRight w:val="0"/>
      <w:marTop w:val="0"/>
      <w:marBottom w:val="0"/>
      <w:divBdr>
        <w:top w:val="none" w:sz="0" w:space="0" w:color="auto"/>
        <w:left w:val="none" w:sz="0" w:space="0" w:color="auto"/>
        <w:bottom w:val="none" w:sz="0" w:space="0" w:color="auto"/>
        <w:right w:val="none" w:sz="0" w:space="0" w:color="auto"/>
      </w:divBdr>
    </w:div>
    <w:div w:id="482502210">
      <w:bodyDiv w:val="1"/>
      <w:marLeft w:val="0"/>
      <w:marRight w:val="0"/>
      <w:marTop w:val="0"/>
      <w:marBottom w:val="0"/>
      <w:divBdr>
        <w:top w:val="none" w:sz="0" w:space="0" w:color="auto"/>
        <w:left w:val="none" w:sz="0" w:space="0" w:color="auto"/>
        <w:bottom w:val="none" w:sz="0" w:space="0" w:color="auto"/>
        <w:right w:val="none" w:sz="0" w:space="0" w:color="auto"/>
      </w:divBdr>
    </w:div>
    <w:div w:id="613025135">
      <w:bodyDiv w:val="1"/>
      <w:marLeft w:val="0"/>
      <w:marRight w:val="0"/>
      <w:marTop w:val="0"/>
      <w:marBottom w:val="0"/>
      <w:divBdr>
        <w:top w:val="none" w:sz="0" w:space="0" w:color="auto"/>
        <w:left w:val="none" w:sz="0" w:space="0" w:color="auto"/>
        <w:bottom w:val="none" w:sz="0" w:space="0" w:color="auto"/>
        <w:right w:val="none" w:sz="0" w:space="0" w:color="auto"/>
      </w:divBdr>
    </w:div>
    <w:div w:id="723796632">
      <w:bodyDiv w:val="1"/>
      <w:marLeft w:val="0"/>
      <w:marRight w:val="0"/>
      <w:marTop w:val="0"/>
      <w:marBottom w:val="0"/>
      <w:divBdr>
        <w:top w:val="none" w:sz="0" w:space="0" w:color="auto"/>
        <w:left w:val="none" w:sz="0" w:space="0" w:color="auto"/>
        <w:bottom w:val="none" w:sz="0" w:space="0" w:color="auto"/>
        <w:right w:val="none" w:sz="0" w:space="0" w:color="auto"/>
      </w:divBdr>
    </w:div>
    <w:div w:id="860124999">
      <w:bodyDiv w:val="1"/>
      <w:marLeft w:val="0"/>
      <w:marRight w:val="0"/>
      <w:marTop w:val="0"/>
      <w:marBottom w:val="0"/>
      <w:divBdr>
        <w:top w:val="none" w:sz="0" w:space="0" w:color="auto"/>
        <w:left w:val="none" w:sz="0" w:space="0" w:color="auto"/>
        <w:bottom w:val="none" w:sz="0" w:space="0" w:color="auto"/>
        <w:right w:val="none" w:sz="0" w:space="0" w:color="auto"/>
      </w:divBdr>
    </w:div>
    <w:div w:id="995645260">
      <w:bodyDiv w:val="1"/>
      <w:marLeft w:val="0"/>
      <w:marRight w:val="0"/>
      <w:marTop w:val="0"/>
      <w:marBottom w:val="0"/>
      <w:divBdr>
        <w:top w:val="none" w:sz="0" w:space="0" w:color="auto"/>
        <w:left w:val="none" w:sz="0" w:space="0" w:color="auto"/>
        <w:bottom w:val="none" w:sz="0" w:space="0" w:color="auto"/>
        <w:right w:val="none" w:sz="0" w:space="0" w:color="auto"/>
      </w:divBdr>
    </w:div>
    <w:div w:id="1015614405">
      <w:bodyDiv w:val="1"/>
      <w:marLeft w:val="0"/>
      <w:marRight w:val="0"/>
      <w:marTop w:val="0"/>
      <w:marBottom w:val="0"/>
      <w:divBdr>
        <w:top w:val="none" w:sz="0" w:space="0" w:color="auto"/>
        <w:left w:val="none" w:sz="0" w:space="0" w:color="auto"/>
        <w:bottom w:val="none" w:sz="0" w:space="0" w:color="auto"/>
        <w:right w:val="none" w:sz="0" w:space="0" w:color="auto"/>
      </w:divBdr>
    </w:div>
    <w:div w:id="1032731917">
      <w:bodyDiv w:val="1"/>
      <w:marLeft w:val="0"/>
      <w:marRight w:val="0"/>
      <w:marTop w:val="0"/>
      <w:marBottom w:val="0"/>
      <w:divBdr>
        <w:top w:val="none" w:sz="0" w:space="0" w:color="auto"/>
        <w:left w:val="none" w:sz="0" w:space="0" w:color="auto"/>
        <w:bottom w:val="none" w:sz="0" w:space="0" w:color="auto"/>
        <w:right w:val="none" w:sz="0" w:space="0" w:color="auto"/>
      </w:divBdr>
    </w:div>
    <w:div w:id="1216506912">
      <w:bodyDiv w:val="1"/>
      <w:marLeft w:val="0"/>
      <w:marRight w:val="0"/>
      <w:marTop w:val="0"/>
      <w:marBottom w:val="0"/>
      <w:divBdr>
        <w:top w:val="none" w:sz="0" w:space="0" w:color="auto"/>
        <w:left w:val="none" w:sz="0" w:space="0" w:color="auto"/>
        <w:bottom w:val="none" w:sz="0" w:space="0" w:color="auto"/>
        <w:right w:val="none" w:sz="0" w:space="0" w:color="auto"/>
      </w:divBdr>
    </w:div>
    <w:div w:id="1272669971">
      <w:bodyDiv w:val="1"/>
      <w:marLeft w:val="0"/>
      <w:marRight w:val="0"/>
      <w:marTop w:val="0"/>
      <w:marBottom w:val="0"/>
      <w:divBdr>
        <w:top w:val="none" w:sz="0" w:space="0" w:color="auto"/>
        <w:left w:val="none" w:sz="0" w:space="0" w:color="auto"/>
        <w:bottom w:val="none" w:sz="0" w:space="0" w:color="auto"/>
        <w:right w:val="none" w:sz="0" w:space="0" w:color="auto"/>
      </w:divBdr>
    </w:div>
    <w:div w:id="1321811968">
      <w:bodyDiv w:val="1"/>
      <w:marLeft w:val="0"/>
      <w:marRight w:val="0"/>
      <w:marTop w:val="0"/>
      <w:marBottom w:val="0"/>
      <w:divBdr>
        <w:top w:val="none" w:sz="0" w:space="0" w:color="auto"/>
        <w:left w:val="none" w:sz="0" w:space="0" w:color="auto"/>
        <w:bottom w:val="none" w:sz="0" w:space="0" w:color="auto"/>
        <w:right w:val="none" w:sz="0" w:space="0" w:color="auto"/>
      </w:divBdr>
    </w:div>
    <w:div w:id="1366172059">
      <w:bodyDiv w:val="1"/>
      <w:marLeft w:val="0"/>
      <w:marRight w:val="0"/>
      <w:marTop w:val="0"/>
      <w:marBottom w:val="0"/>
      <w:divBdr>
        <w:top w:val="none" w:sz="0" w:space="0" w:color="auto"/>
        <w:left w:val="none" w:sz="0" w:space="0" w:color="auto"/>
        <w:bottom w:val="none" w:sz="0" w:space="0" w:color="auto"/>
        <w:right w:val="none" w:sz="0" w:space="0" w:color="auto"/>
      </w:divBdr>
    </w:div>
    <w:div w:id="1462962791">
      <w:bodyDiv w:val="1"/>
      <w:marLeft w:val="0"/>
      <w:marRight w:val="0"/>
      <w:marTop w:val="0"/>
      <w:marBottom w:val="0"/>
      <w:divBdr>
        <w:top w:val="none" w:sz="0" w:space="0" w:color="auto"/>
        <w:left w:val="none" w:sz="0" w:space="0" w:color="auto"/>
        <w:bottom w:val="none" w:sz="0" w:space="0" w:color="auto"/>
        <w:right w:val="none" w:sz="0" w:space="0" w:color="auto"/>
      </w:divBdr>
    </w:div>
    <w:div w:id="1514956453">
      <w:bodyDiv w:val="1"/>
      <w:marLeft w:val="0"/>
      <w:marRight w:val="0"/>
      <w:marTop w:val="0"/>
      <w:marBottom w:val="0"/>
      <w:divBdr>
        <w:top w:val="none" w:sz="0" w:space="0" w:color="auto"/>
        <w:left w:val="none" w:sz="0" w:space="0" w:color="auto"/>
        <w:bottom w:val="none" w:sz="0" w:space="0" w:color="auto"/>
        <w:right w:val="none" w:sz="0" w:space="0" w:color="auto"/>
      </w:divBdr>
    </w:div>
    <w:div w:id="1543058884">
      <w:bodyDiv w:val="1"/>
      <w:marLeft w:val="0"/>
      <w:marRight w:val="0"/>
      <w:marTop w:val="0"/>
      <w:marBottom w:val="0"/>
      <w:divBdr>
        <w:top w:val="none" w:sz="0" w:space="0" w:color="auto"/>
        <w:left w:val="none" w:sz="0" w:space="0" w:color="auto"/>
        <w:bottom w:val="none" w:sz="0" w:space="0" w:color="auto"/>
        <w:right w:val="none" w:sz="0" w:space="0" w:color="auto"/>
      </w:divBdr>
    </w:div>
    <w:div w:id="1656110175">
      <w:bodyDiv w:val="1"/>
      <w:marLeft w:val="0"/>
      <w:marRight w:val="0"/>
      <w:marTop w:val="0"/>
      <w:marBottom w:val="0"/>
      <w:divBdr>
        <w:top w:val="none" w:sz="0" w:space="0" w:color="auto"/>
        <w:left w:val="none" w:sz="0" w:space="0" w:color="auto"/>
        <w:bottom w:val="none" w:sz="0" w:space="0" w:color="auto"/>
        <w:right w:val="none" w:sz="0" w:space="0" w:color="auto"/>
      </w:divBdr>
    </w:div>
    <w:div w:id="1826968261">
      <w:bodyDiv w:val="1"/>
      <w:marLeft w:val="0"/>
      <w:marRight w:val="0"/>
      <w:marTop w:val="0"/>
      <w:marBottom w:val="0"/>
      <w:divBdr>
        <w:top w:val="none" w:sz="0" w:space="0" w:color="auto"/>
        <w:left w:val="none" w:sz="0" w:space="0" w:color="auto"/>
        <w:bottom w:val="none" w:sz="0" w:space="0" w:color="auto"/>
        <w:right w:val="none" w:sz="0" w:space="0" w:color="auto"/>
      </w:divBdr>
    </w:div>
    <w:div w:id="1895266804">
      <w:bodyDiv w:val="1"/>
      <w:marLeft w:val="0"/>
      <w:marRight w:val="0"/>
      <w:marTop w:val="0"/>
      <w:marBottom w:val="0"/>
      <w:divBdr>
        <w:top w:val="none" w:sz="0" w:space="0" w:color="auto"/>
        <w:left w:val="none" w:sz="0" w:space="0" w:color="auto"/>
        <w:bottom w:val="none" w:sz="0" w:space="0" w:color="auto"/>
        <w:right w:val="none" w:sz="0" w:space="0" w:color="auto"/>
      </w:divBdr>
    </w:div>
    <w:div w:id="1926566877">
      <w:bodyDiv w:val="1"/>
      <w:marLeft w:val="0"/>
      <w:marRight w:val="0"/>
      <w:marTop w:val="0"/>
      <w:marBottom w:val="0"/>
      <w:divBdr>
        <w:top w:val="none" w:sz="0" w:space="0" w:color="auto"/>
        <w:left w:val="none" w:sz="0" w:space="0" w:color="auto"/>
        <w:bottom w:val="none" w:sz="0" w:space="0" w:color="auto"/>
        <w:right w:val="none" w:sz="0" w:space="0" w:color="auto"/>
      </w:divBdr>
    </w:div>
    <w:div w:id="1980529492">
      <w:bodyDiv w:val="1"/>
      <w:marLeft w:val="0"/>
      <w:marRight w:val="0"/>
      <w:marTop w:val="0"/>
      <w:marBottom w:val="0"/>
      <w:divBdr>
        <w:top w:val="none" w:sz="0" w:space="0" w:color="auto"/>
        <w:left w:val="none" w:sz="0" w:space="0" w:color="auto"/>
        <w:bottom w:val="none" w:sz="0" w:space="0" w:color="auto"/>
        <w:right w:val="none" w:sz="0" w:space="0" w:color="auto"/>
      </w:divBdr>
    </w:div>
    <w:div w:id="21001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DCF86803-D9EC-44C0-933D-C489E2884D0B}"/>
</file>

<file path=customXml/itemProps2.xml><?xml version="1.0" encoding="utf-8"?>
<ds:datastoreItem xmlns:ds="http://schemas.openxmlformats.org/officeDocument/2006/customXml" ds:itemID="{2BAD9307-B19B-4C01-B280-C6B657CC296C}"/>
</file>

<file path=customXml/itemProps3.xml><?xml version="1.0" encoding="utf-8"?>
<ds:datastoreItem xmlns:ds="http://schemas.openxmlformats.org/officeDocument/2006/customXml" ds:itemID="{466E2774-E493-46F8-AA96-1DFFD914A7F0}"/>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7716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Quadflieg, Manuela</dc:creator>
  <cp:keywords/>
  <dc:description/>
  <cp:lastModifiedBy>Kontny, Udo</cp:lastModifiedBy>
  <cp:revision>3</cp:revision>
  <dcterms:created xsi:type="dcterms:W3CDTF">2025-10-11T15:39:00Z</dcterms:created>
  <dcterms:modified xsi:type="dcterms:W3CDTF">2025-10-11T15:53:00Z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