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4E4CF445" w:rsidR="008E6675" w:rsidRPr="005638EB" w:rsidRDefault="008E6675" w:rsidP="00B64027">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Onkologie e.V.</w:t>
            </w:r>
            <w:r w:rsidR="009A0253">
              <w:rPr>
                <w:rFonts w:ascii="Arial Narrow" w:hAnsi="Arial Narrow"/>
                <w:sz w:val="22"/>
              </w:rPr>
              <w:t xml:space="preserve"> vorformuliert und wird durch </w:t>
            </w:r>
            <w:r w:rsidR="00474EA0">
              <w:rPr>
                <w:rFonts w:ascii="Arial Narrow" w:hAnsi="Arial Narrow"/>
                <w:sz w:val="22"/>
              </w:rPr>
              <w:t xml:space="preserve">die Gesellschaft für </w:t>
            </w:r>
            <w:r w:rsidR="00B64027">
              <w:rPr>
                <w:rFonts w:ascii="Arial Narrow" w:hAnsi="Arial Narrow"/>
                <w:sz w:val="22"/>
              </w:rPr>
              <w:t>P</w:t>
            </w:r>
            <w:r w:rsidR="00474EA0">
              <w:rPr>
                <w:rFonts w:ascii="Arial Narrow" w:hAnsi="Arial Narrow"/>
                <w:sz w:val="22"/>
              </w:rPr>
              <w:t xml:space="preserve">ädiatrische </w:t>
            </w:r>
            <w:r w:rsidR="00382EC9">
              <w:rPr>
                <w:rFonts w:ascii="Arial Narrow" w:hAnsi="Arial Narrow"/>
                <w:sz w:val="22"/>
              </w:rPr>
              <w:t>Onkologie</w:t>
            </w:r>
            <w:r w:rsidR="00474EA0">
              <w:rPr>
                <w:rFonts w:ascii="Arial Narrow" w:hAnsi="Arial Narrow"/>
                <w:sz w:val="22"/>
              </w:rPr>
              <w:t xml:space="preserve"> und </w:t>
            </w:r>
            <w:r w:rsidR="00382EC9">
              <w:rPr>
                <w:rFonts w:ascii="Arial Narrow" w:hAnsi="Arial Narrow"/>
                <w:sz w:val="22"/>
              </w:rPr>
              <w:t>Hämatologie</w:t>
            </w:r>
            <w:r w:rsidR="00474EA0">
              <w:rPr>
                <w:rFonts w:ascii="Arial Narrow" w:hAnsi="Arial Narrow"/>
                <w:sz w:val="22"/>
              </w:rPr>
              <w:t xml:space="preserve"> e.V</w:t>
            </w:r>
            <w:r w:rsidRPr="005638EB">
              <w:rPr>
                <w:rFonts w:ascii="Arial Narrow" w:hAnsi="Arial Narrow"/>
                <w:sz w:val="22"/>
              </w:rPr>
              <w:t>.</w:t>
            </w:r>
            <w:r w:rsidR="009A0253">
              <w:rPr>
                <w:rFonts w:ascii="Arial Narrow" w:hAnsi="Arial Narrow"/>
                <w:sz w:val="22"/>
              </w:rPr>
              <w:t xml:space="preserve"> unterstützt.</w:t>
            </w:r>
            <w:r w:rsidRPr="005638EB">
              <w:rPr>
                <w:rFonts w:ascii="Arial Narrow" w:hAnsi="Arial Narrow"/>
                <w:sz w:val="22"/>
              </w:rPr>
              <w:t xml:space="preserve"> </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7A1711DC" w:rsidR="008E6675" w:rsidRPr="007F255B" w:rsidRDefault="008B4EAB" w:rsidP="005638EB">
            <w:pPr>
              <w:rPr>
                <w:rFonts w:ascii="Arial Narrow" w:hAnsi="Arial Narrow"/>
                <w:color w:val="00B050"/>
                <w:sz w:val="22"/>
              </w:rPr>
            </w:pPr>
            <w:proofErr w:type="spellStart"/>
            <w:r w:rsidRPr="00AC62F8">
              <w:rPr>
                <w:rFonts w:ascii="Arial Narrow" w:hAnsi="Arial Narrow"/>
                <w:sz w:val="22"/>
              </w:rPr>
              <w:t>Treosulfan</w:t>
            </w:r>
            <w:proofErr w:type="spellEnd"/>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7D6C1D66" w:rsidR="008E6675" w:rsidRPr="005638EB" w:rsidRDefault="008B4EAB" w:rsidP="005638EB">
            <w:pPr>
              <w:rPr>
                <w:rFonts w:ascii="Arial Narrow" w:hAnsi="Arial Narrow"/>
              </w:rPr>
            </w:pPr>
            <w:proofErr w:type="spellStart"/>
            <w:r w:rsidRPr="00AC62F8">
              <w:rPr>
                <w:rFonts w:ascii="Arial Narrow" w:hAnsi="Arial Narrow"/>
                <w:sz w:val="22"/>
              </w:rPr>
              <w:t>Trecondi</w:t>
            </w:r>
            <w:proofErr w:type="spellEnd"/>
            <w:r w:rsidRPr="00741086">
              <w:rPr>
                <w:rFonts w:ascii="Arial Narrow" w:hAnsi="Arial Narrow"/>
                <w:sz w:val="22"/>
                <w:vertAlign w:val="superscript"/>
              </w:rPr>
              <w:t xml:space="preserve">® </w:t>
            </w:r>
            <w:r w:rsidRPr="00AC62F8">
              <w:rPr>
                <w:rFonts w:ascii="Arial Narrow" w:hAnsi="Arial Narrow"/>
                <w:sz w:val="22"/>
              </w:rPr>
              <w:t xml:space="preserve"> </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4F253092" w:rsidR="004C4F82" w:rsidRPr="004C4F82" w:rsidRDefault="008B7669" w:rsidP="00232E42">
            <w:pPr>
              <w:rPr>
                <w:rFonts w:ascii="Arial Narrow" w:hAnsi="Arial Narrow"/>
                <w:color w:val="00B050"/>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5BA7F0AE"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867225">
              <w:rPr>
                <w:rFonts w:ascii="Arial Narrow" w:hAnsi="Arial Narrow"/>
                <w:b/>
                <w:sz w:val="22"/>
              </w:rPr>
              <w:t>5</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tbl>
            <w:tblPr>
              <w:tblW w:w="9104" w:type="dxa"/>
              <w:tblBorders>
                <w:top w:val="nil"/>
                <w:left w:val="nil"/>
                <w:bottom w:val="nil"/>
                <w:right w:val="nil"/>
              </w:tblBorders>
              <w:tblLayout w:type="fixed"/>
              <w:tblLook w:val="0000" w:firstRow="0" w:lastRow="0" w:firstColumn="0" w:lastColumn="0" w:noHBand="0" w:noVBand="0"/>
            </w:tblPr>
            <w:tblGrid>
              <w:gridCol w:w="9104"/>
            </w:tblGrid>
            <w:tr w:rsidR="007F662B" w14:paraId="7F933C80" w14:textId="77777777" w:rsidTr="007F662B">
              <w:tblPrEx>
                <w:tblCellMar>
                  <w:top w:w="0" w:type="dxa"/>
                  <w:bottom w:w="0" w:type="dxa"/>
                </w:tblCellMar>
              </w:tblPrEx>
              <w:trPr>
                <w:trHeight w:val="406"/>
              </w:trPr>
              <w:tc>
                <w:tcPr>
                  <w:tcW w:w="9104" w:type="dxa"/>
                </w:tcPr>
                <w:p w14:paraId="712DA802" w14:textId="69693DB2" w:rsidR="007F662B" w:rsidRDefault="007F662B" w:rsidP="007F662B">
                  <w:pPr>
                    <w:pStyle w:val="Default"/>
                    <w:rPr>
                      <w:sz w:val="22"/>
                      <w:szCs w:val="22"/>
                    </w:rPr>
                  </w:pPr>
                  <w:r w:rsidRPr="007F662B">
                    <w:rPr>
                      <w:sz w:val="22"/>
                      <w:szCs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r>
                    <w:rPr>
                      <w:sz w:val="22"/>
                      <w:szCs w:val="22"/>
                    </w:rPr>
                    <w:t xml:space="preserve"> </w:t>
                  </w:r>
                </w:p>
              </w:tc>
            </w:tr>
          </w:tbl>
          <w:p w14:paraId="7DD0679B" w14:textId="3E309990" w:rsidR="00492AB4" w:rsidRPr="005638EB" w:rsidRDefault="00492AB4" w:rsidP="00DB14F4">
            <w:pPr>
              <w:rPr>
                <w:rFonts w:ascii="Arial Narrow" w:hAnsi="Arial Narrow"/>
              </w:rPr>
            </w:pP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0B359AD5" w14:textId="77777777" w:rsidR="007477A3" w:rsidRDefault="007477A3">
            <w:pPr>
              <w:jc w:val="both"/>
              <w:rPr>
                <w:rFonts w:ascii="Arial Narrow" w:hAnsi="Arial Narrow"/>
                <w:sz w:val="22"/>
              </w:rPr>
            </w:pPr>
            <w:r>
              <w:rPr>
                <w:rFonts w:ascii="Arial Narrow" w:hAnsi="Arial Narrow"/>
                <w:sz w:val="22"/>
              </w:rPr>
              <w:t>Wirkweise:</w:t>
            </w:r>
          </w:p>
          <w:p w14:paraId="1BB5BB87" w14:textId="25933324" w:rsidR="007477A3" w:rsidRDefault="00671707">
            <w:pPr>
              <w:jc w:val="both"/>
            </w:pPr>
            <w:proofErr w:type="spellStart"/>
            <w:r w:rsidRPr="00AB14C0">
              <w:rPr>
                <w:rFonts w:ascii="Arial Narrow" w:hAnsi="Arial Narrow"/>
                <w:sz w:val="22"/>
              </w:rPr>
              <w:t>Treosulfan</w:t>
            </w:r>
            <w:proofErr w:type="spellEnd"/>
            <w:r w:rsidRPr="00AB14C0">
              <w:rPr>
                <w:rFonts w:ascii="Arial Narrow" w:hAnsi="Arial Narrow"/>
                <w:sz w:val="22"/>
              </w:rPr>
              <w:t xml:space="preserve"> ist ein </w:t>
            </w:r>
            <w:proofErr w:type="spellStart"/>
            <w:r w:rsidRPr="00AB14C0">
              <w:rPr>
                <w:rFonts w:ascii="Arial Narrow" w:hAnsi="Arial Narrow"/>
                <w:sz w:val="22"/>
              </w:rPr>
              <w:t>Prodrug</w:t>
            </w:r>
            <w:proofErr w:type="spellEnd"/>
            <w:r w:rsidRPr="00AB14C0">
              <w:rPr>
                <w:rFonts w:ascii="Arial Narrow" w:hAnsi="Arial Narrow"/>
                <w:sz w:val="22"/>
              </w:rPr>
              <w:t xml:space="preserve"> eines </w:t>
            </w:r>
            <w:proofErr w:type="spellStart"/>
            <w:r w:rsidRPr="00AB14C0">
              <w:rPr>
                <w:rFonts w:ascii="Arial Narrow" w:hAnsi="Arial Narrow"/>
                <w:sz w:val="22"/>
              </w:rPr>
              <w:t>bifunktionellen</w:t>
            </w:r>
            <w:proofErr w:type="spellEnd"/>
            <w:r w:rsidRPr="00AB14C0">
              <w:rPr>
                <w:rFonts w:ascii="Arial Narrow" w:hAnsi="Arial Narrow"/>
                <w:sz w:val="22"/>
              </w:rPr>
              <w:t xml:space="preserve"> Alkylierungsmittels mit zytotoxischer Wirkung gegen </w:t>
            </w:r>
            <w:proofErr w:type="spellStart"/>
            <w:r w:rsidRPr="00AB14C0">
              <w:rPr>
                <w:rFonts w:ascii="Arial Narrow" w:hAnsi="Arial Narrow"/>
                <w:sz w:val="22"/>
              </w:rPr>
              <w:t>hämatopoetische</w:t>
            </w:r>
            <w:proofErr w:type="spellEnd"/>
            <w:r w:rsidRPr="00AB14C0">
              <w:rPr>
                <w:rFonts w:ascii="Arial Narrow" w:hAnsi="Arial Narrow"/>
                <w:sz w:val="22"/>
              </w:rPr>
              <w:t xml:space="preserve"> Vorläuferzelle</w:t>
            </w:r>
            <w:r>
              <w:rPr>
                <w:rFonts w:ascii="Arial Narrow" w:hAnsi="Arial Narrow"/>
                <w:sz w:val="22"/>
              </w:rPr>
              <w:t xml:space="preserve">n. </w:t>
            </w:r>
            <w:r w:rsidRPr="00AC62F8">
              <w:rPr>
                <w:rFonts w:ascii="Arial Narrow" w:hAnsi="Arial Narrow"/>
                <w:sz w:val="22"/>
              </w:rPr>
              <w:t xml:space="preserve"> </w:t>
            </w:r>
            <w:r>
              <w:rPr>
                <w:rFonts w:ascii="Arial Narrow" w:hAnsi="Arial Narrow"/>
                <w:sz w:val="22"/>
              </w:rPr>
              <w:t>Es</w:t>
            </w:r>
            <w:r w:rsidR="008B4EAB" w:rsidRPr="00AC62F8">
              <w:rPr>
                <w:rFonts w:ascii="Arial Narrow" w:hAnsi="Arial Narrow"/>
                <w:sz w:val="22"/>
              </w:rPr>
              <w:t xml:space="preserve"> ist ein seit</w:t>
            </w:r>
            <w:r w:rsidR="00C048B9">
              <w:rPr>
                <w:rFonts w:ascii="Arial Narrow" w:hAnsi="Arial Narrow"/>
                <w:sz w:val="22"/>
              </w:rPr>
              <w:t xml:space="preserve"> </w:t>
            </w:r>
            <w:r w:rsidR="008B4EAB" w:rsidRPr="00AC62F8">
              <w:rPr>
                <w:rFonts w:ascii="Arial Narrow" w:hAnsi="Arial Narrow"/>
                <w:sz w:val="22"/>
              </w:rPr>
              <w:t xml:space="preserve">langem bekanntes Zytostatikum, das unter dem Handelsnamen </w:t>
            </w:r>
            <w:proofErr w:type="spellStart"/>
            <w:r w:rsidR="008B4EAB" w:rsidRPr="00AC62F8">
              <w:rPr>
                <w:rFonts w:ascii="Arial Narrow" w:hAnsi="Arial Narrow"/>
                <w:sz w:val="22"/>
              </w:rPr>
              <w:t>Ovastat</w:t>
            </w:r>
            <w:proofErr w:type="spellEnd"/>
            <w:r w:rsidR="008B4EAB" w:rsidRPr="00AC62F8">
              <w:rPr>
                <w:rFonts w:ascii="Arial Narrow" w:hAnsi="Arial Narrow"/>
                <w:sz w:val="22"/>
              </w:rPr>
              <w:t xml:space="preserve">® für die Therapie von Ovarialkarzinomen zugelassen ist. Es wird jedoch auch bei der Konditionierungstherapie vor einer Stammzelltransplantation in einer 4 bis 6 </w:t>
            </w:r>
            <w:proofErr w:type="spellStart"/>
            <w:r w:rsidR="008B4EAB" w:rsidRPr="00AC62F8">
              <w:rPr>
                <w:rFonts w:ascii="Arial Narrow" w:hAnsi="Arial Narrow"/>
                <w:sz w:val="22"/>
              </w:rPr>
              <w:t>fach</w:t>
            </w:r>
            <w:proofErr w:type="spellEnd"/>
            <w:r w:rsidR="008B4EAB" w:rsidRPr="00AC62F8">
              <w:rPr>
                <w:rFonts w:ascii="Arial Narrow" w:hAnsi="Arial Narrow"/>
                <w:sz w:val="22"/>
              </w:rPr>
              <w:t xml:space="preserve"> höheren Dosis angewandt. Dafür wurde es unter dem Handelsnamen </w:t>
            </w:r>
            <w:proofErr w:type="spellStart"/>
            <w:r w:rsidR="008B4EAB" w:rsidRPr="00AC62F8">
              <w:rPr>
                <w:rFonts w:ascii="Arial Narrow" w:hAnsi="Arial Narrow"/>
                <w:sz w:val="22"/>
              </w:rPr>
              <w:t>Trecondi</w:t>
            </w:r>
            <w:proofErr w:type="spellEnd"/>
            <w:r w:rsidR="008B4EAB" w:rsidRPr="00AC62F8">
              <w:rPr>
                <w:rFonts w:ascii="Arial Narrow" w:hAnsi="Arial Narrow"/>
                <w:sz w:val="22"/>
              </w:rPr>
              <w:t>® neu zugelassen.</w:t>
            </w:r>
            <w:r>
              <w:t xml:space="preserve"> </w:t>
            </w:r>
          </w:p>
          <w:p w14:paraId="01CB5332" w14:textId="77777777" w:rsidR="007477A3" w:rsidRDefault="007477A3">
            <w:pPr>
              <w:jc w:val="both"/>
            </w:pPr>
            <w:r w:rsidRPr="00C048B9">
              <w:rPr>
                <w:rFonts w:ascii="Arial Narrow" w:hAnsi="Arial Narrow"/>
                <w:sz w:val="22"/>
              </w:rPr>
              <w:t>Evidenzlage</w:t>
            </w:r>
            <w:r>
              <w:t>:</w:t>
            </w:r>
          </w:p>
          <w:p w14:paraId="47393287" w14:textId="77777777" w:rsidR="007F662B" w:rsidRDefault="00671707" w:rsidP="008B4EAB">
            <w:pPr>
              <w:rPr>
                <w:rFonts w:ascii="Arial Narrow" w:hAnsi="Arial Narrow"/>
                <w:sz w:val="22"/>
              </w:rPr>
            </w:pPr>
            <w:r w:rsidRPr="00C048B9">
              <w:rPr>
                <w:rFonts w:ascii="Arial Narrow" w:hAnsi="Arial Narrow"/>
                <w:sz w:val="22"/>
              </w:rPr>
              <w:t>In einer rand</w:t>
            </w:r>
            <w:r>
              <w:rPr>
                <w:rFonts w:ascii="Arial Narrow" w:hAnsi="Arial Narrow"/>
                <w:sz w:val="22"/>
              </w:rPr>
              <w:t xml:space="preserve">omisierten Studie wurde das Konditionierungsschema mit </w:t>
            </w:r>
            <w:proofErr w:type="spellStart"/>
            <w:r>
              <w:rPr>
                <w:rFonts w:ascii="Arial Narrow" w:hAnsi="Arial Narrow"/>
                <w:sz w:val="22"/>
              </w:rPr>
              <w:t>Treosulfan</w:t>
            </w:r>
            <w:proofErr w:type="spellEnd"/>
            <w:r>
              <w:rPr>
                <w:rFonts w:ascii="Arial Narrow" w:hAnsi="Arial Narrow"/>
                <w:sz w:val="22"/>
              </w:rPr>
              <w:t xml:space="preserve"> versus einem Konditionierungsschema mit </w:t>
            </w:r>
            <w:proofErr w:type="spellStart"/>
            <w:r>
              <w:rPr>
                <w:rFonts w:ascii="Arial Narrow" w:hAnsi="Arial Narrow"/>
                <w:sz w:val="22"/>
              </w:rPr>
              <w:t>Busulfan</w:t>
            </w:r>
            <w:proofErr w:type="spellEnd"/>
            <w:r>
              <w:rPr>
                <w:rFonts w:ascii="Arial Narrow" w:hAnsi="Arial Narrow"/>
                <w:sz w:val="22"/>
              </w:rPr>
              <w:t xml:space="preserve"> untersucht. Das Gesamtüberleben war mit 72,7 % im </w:t>
            </w:r>
            <w:proofErr w:type="spellStart"/>
            <w:r>
              <w:rPr>
                <w:rFonts w:ascii="Arial Narrow" w:hAnsi="Arial Narrow"/>
                <w:sz w:val="22"/>
              </w:rPr>
              <w:t>Treosulfanarm</w:t>
            </w:r>
            <w:proofErr w:type="spellEnd"/>
            <w:r>
              <w:rPr>
                <w:rFonts w:ascii="Arial Narrow" w:hAnsi="Arial Narrow"/>
                <w:sz w:val="22"/>
              </w:rPr>
              <w:t xml:space="preserve"> verlängert gegenüber 60,2% im Kontrollarm (HR 0,64, 95% KI 0,48;0,87</w:t>
            </w:r>
            <w:r w:rsidR="0025330A">
              <w:rPr>
                <w:rFonts w:ascii="Arial Narrow" w:hAnsi="Arial Narrow"/>
                <w:sz w:val="22"/>
              </w:rPr>
              <w:t xml:space="preserve">,p=0,0037 </w:t>
            </w:r>
            <w:r>
              <w:rPr>
                <w:rFonts w:ascii="Arial Narrow" w:hAnsi="Arial Narrow"/>
                <w:sz w:val="22"/>
              </w:rPr>
              <w:t xml:space="preserve">). </w:t>
            </w:r>
          </w:p>
          <w:p w14:paraId="5EDAD5F1" w14:textId="77777777" w:rsidR="007F662B" w:rsidRDefault="007F662B" w:rsidP="008B4EAB">
            <w:pPr>
              <w:rPr>
                <w:rFonts w:ascii="Arial Narrow" w:hAnsi="Arial Narrow"/>
                <w:sz w:val="22"/>
              </w:rPr>
            </w:pPr>
            <w:r w:rsidRPr="007F662B">
              <w:rPr>
                <w:rFonts w:ascii="Arial Narrow" w:hAnsi="Arial Narrow"/>
                <w:sz w:val="22"/>
              </w:rPr>
              <w:t>Quelle: Fachinformation, Stand November 2023, Zugriff am 3.8.2025.</w:t>
            </w:r>
          </w:p>
          <w:p w14:paraId="1CA9462C" w14:textId="77777777" w:rsidR="007F662B" w:rsidRDefault="007F662B" w:rsidP="008B4EAB">
            <w:pPr>
              <w:rPr>
                <w:rFonts w:ascii="Arial Narrow" w:hAnsi="Arial Narrow"/>
                <w:sz w:val="22"/>
              </w:rPr>
            </w:pPr>
          </w:p>
          <w:p w14:paraId="0AF79188" w14:textId="3FB01A7F" w:rsidR="00DB14F4" w:rsidRPr="005638EB" w:rsidRDefault="007F662B" w:rsidP="008B4EAB">
            <w:pPr>
              <w:rPr>
                <w:rFonts w:ascii="Arial Narrow" w:hAnsi="Arial Narrow"/>
                <w:lang w:val="de-CH"/>
              </w:rPr>
            </w:pPr>
            <w:r>
              <w:rPr>
                <w:rFonts w:ascii="Arial Narrow" w:hAnsi="Arial Narrow"/>
                <w:sz w:val="22"/>
              </w:rPr>
              <w:t>Dosierung</w:t>
            </w:r>
            <w:r w:rsidR="008B4EAB" w:rsidRPr="00AC62F8">
              <w:rPr>
                <w:rFonts w:ascii="Arial Narrow" w:hAnsi="Arial Narrow"/>
                <w:sz w:val="22"/>
              </w:rPr>
              <w:t xml:space="preserve">: </w:t>
            </w:r>
            <w:r w:rsidR="00741086" w:rsidRPr="00474EA0">
              <w:rPr>
                <w:rFonts w:ascii="Arial Narrow" w:hAnsi="Arial Narrow"/>
                <w:sz w:val="22"/>
                <w:szCs w:val="22"/>
              </w:rPr>
              <w:t>E</w:t>
            </w:r>
            <w:r w:rsidR="00741086" w:rsidRPr="009B1235">
              <w:rPr>
                <w:rFonts w:ascii="Arial Narrow" w:hAnsi="Arial Narrow"/>
                <w:sz w:val="22"/>
                <w:szCs w:val="22"/>
              </w:rPr>
              <w:t xml:space="preserve">rwachsene: </w:t>
            </w:r>
            <w:r w:rsidR="008B4EAB" w:rsidRPr="009B1235">
              <w:rPr>
                <w:rFonts w:ascii="Arial Narrow" w:hAnsi="Arial Narrow"/>
                <w:sz w:val="22"/>
                <w:szCs w:val="22"/>
              </w:rPr>
              <w:t>3 x 10g/m</w:t>
            </w:r>
            <w:r w:rsidR="008B4EAB" w:rsidRPr="0057000B">
              <w:rPr>
                <w:rFonts w:ascii="Arial Narrow" w:hAnsi="Arial Narrow"/>
                <w:sz w:val="22"/>
                <w:szCs w:val="22"/>
                <w:vertAlign w:val="superscript"/>
              </w:rPr>
              <w:t>2</w:t>
            </w:r>
            <w:r w:rsidR="008B4EAB" w:rsidRPr="00474EA0">
              <w:rPr>
                <w:rFonts w:ascii="Arial Narrow" w:hAnsi="Arial Narrow"/>
                <w:sz w:val="22"/>
                <w:szCs w:val="22"/>
              </w:rPr>
              <w:t>= 30g/m</w:t>
            </w:r>
            <w:r w:rsidR="008B4EAB" w:rsidRPr="0057000B">
              <w:rPr>
                <w:rFonts w:ascii="Arial Narrow" w:hAnsi="Arial Narrow"/>
                <w:sz w:val="22"/>
                <w:szCs w:val="22"/>
                <w:vertAlign w:val="superscript"/>
              </w:rPr>
              <w:t>2</w:t>
            </w:r>
            <w:r w:rsidR="008B4EAB" w:rsidRPr="0057000B">
              <w:rPr>
                <w:rFonts w:ascii="Arial Narrow" w:hAnsi="Arial Narrow"/>
                <w:sz w:val="22"/>
                <w:szCs w:val="22"/>
                <w:lang w:val="de-CH"/>
              </w:rPr>
              <w:t xml:space="preserve">  </w:t>
            </w:r>
            <w:r w:rsidR="00671707" w:rsidRPr="0057000B">
              <w:rPr>
                <w:rFonts w:ascii="Arial Narrow" w:hAnsi="Arial Narrow"/>
                <w:sz w:val="22"/>
                <w:szCs w:val="22"/>
                <w:lang w:val="de-CH"/>
              </w:rPr>
              <w:t>als Infusion.</w:t>
            </w:r>
            <w:r w:rsidR="00741086" w:rsidRPr="0057000B">
              <w:rPr>
                <w:rFonts w:ascii="Arial Narrow" w:hAnsi="Arial Narrow"/>
                <w:sz w:val="22"/>
                <w:szCs w:val="22"/>
                <w:lang w:val="de-CH"/>
              </w:rPr>
              <w:t xml:space="preserve"> Kinder: 3 x </w:t>
            </w:r>
            <w:r w:rsidR="00382EC9">
              <w:rPr>
                <w:rFonts w:ascii="Arial Narrow" w:hAnsi="Arial Narrow"/>
                <w:sz w:val="22"/>
                <w:szCs w:val="22"/>
                <w:lang w:val="de-CH"/>
              </w:rPr>
              <w:t>10-</w:t>
            </w:r>
            <w:r w:rsidR="00741086" w:rsidRPr="0057000B">
              <w:rPr>
                <w:rFonts w:ascii="Arial Narrow" w:hAnsi="Arial Narrow"/>
                <w:sz w:val="22"/>
                <w:szCs w:val="22"/>
                <w:lang w:val="de-CH"/>
              </w:rPr>
              <w:t>14 g/m² =</w:t>
            </w:r>
            <w:r w:rsidR="00382EC9">
              <w:rPr>
                <w:rFonts w:ascii="Arial Narrow" w:hAnsi="Arial Narrow"/>
                <w:sz w:val="22"/>
                <w:szCs w:val="22"/>
                <w:lang w:val="de-CH"/>
              </w:rPr>
              <w:t>30-</w:t>
            </w:r>
            <w:r w:rsidR="00741086" w:rsidRPr="0057000B">
              <w:rPr>
                <w:rFonts w:ascii="Arial Narrow" w:hAnsi="Arial Narrow"/>
                <w:sz w:val="22"/>
                <w:szCs w:val="22"/>
                <w:lang w:val="de-CH"/>
              </w:rPr>
              <w:t>42 g/m²</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29DA22C2" w:rsidR="00CC7E5F" w:rsidRPr="006354B6" w:rsidRDefault="008B4EAB" w:rsidP="00383414">
            <w:pPr>
              <w:rPr>
                <w:rFonts w:ascii="Arial Narrow" w:hAnsi="Arial Narrow"/>
                <w:sz w:val="22"/>
              </w:rPr>
            </w:pPr>
            <w:r>
              <w:rPr>
                <w:rFonts w:ascii="Arial Narrow" w:hAnsi="Arial Narrow"/>
                <w:sz w:val="22"/>
              </w:rPr>
              <w:t>6-00c.j</w:t>
            </w:r>
          </w:p>
        </w:tc>
      </w:tr>
    </w:tbl>
    <w:p w14:paraId="63A2C327" w14:textId="77777777" w:rsidR="00DC6CBD" w:rsidRPr="006354B6" w:rsidRDefault="00DC6CBD" w:rsidP="00EE0D0B">
      <w:pPr>
        <w:jc w:val="cente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8B4EAB">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8B4EAB" w:rsidRPr="007F255B" w14:paraId="131FE40C" w14:textId="77777777" w:rsidTr="008B4EAB">
        <w:tc>
          <w:tcPr>
            <w:tcW w:w="9212" w:type="dxa"/>
          </w:tcPr>
          <w:p w14:paraId="39002C69" w14:textId="688A50B8" w:rsidR="008B4EAB" w:rsidRDefault="008B4EAB" w:rsidP="008B4EAB">
            <w:pPr>
              <w:rPr>
                <w:rFonts w:ascii="Arial Narrow" w:hAnsi="Arial Narrow"/>
                <w:sz w:val="22"/>
                <w:szCs w:val="22"/>
              </w:rPr>
            </w:pPr>
            <w:r w:rsidRPr="001B32BD">
              <w:rPr>
                <w:rFonts w:ascii="Arial Narrow" w:hAnsi="Arial Narrow"/>
                <w:sz w:val="22"/>
              </w:rPr>
              <w:t xml:space="preserve">Ein Kode aus 8-54 für </w:t>
            </w:r>
            <w:r>
              <w:rPr>
                <w:rFonts w:ascii="Arial Narrow" w:hAnsi="Arial Narrow"/>
                <w:sz w:val="22"/>
              </w:rPr>
              <w:t xml:space="preserve">die </w:t>
            </w:r>
            <w:r w:rsidRPr="001B32BD">
              <w:rPr>
                <w:rFonts w:ascii="Arial Narrow" w:hAnsi="Arial Narrow"/>
                <w:sz w:val="22"/>
              </w:rPr>
              <w:t>Chemotherapie</w:t>
            </w:r>
            <w:r>
              <w:rPr>
                <w:rFonts w:ascii="Arial Narrow" w:hAnsi="Arial Narrow"/>
                <w:sz w:val="22"/>
              </w:rPr>
              <w:t xml:space="preserve"> muss zusätzlich angegeben werden</w:t>
            </w:r>
            <w:r>
              <w:rPr>
                <w:rFonts w:ascii="Arial Narrow" w:hAnsi="Arial Narrow"/>
                <w:sz w:val="22"/>
                <w:szCs w:val="22"/>
              </w:rPr>
              <w:t>.</w:t>
            </w:r>
          </w:p>
          <w:p w14:paraId="48201DB1" w14:textId="56B4786F" w:rsidR="008B4EAB" w:rsidRPr="00435583" w:rsidRDefault="008B4EAB" w:rsidP="008B4EAB">
            <w:pPr>
              <w:rPr>
                <w:rFonts w:ascii="Arial Narrow" w:hAnsi="Arial Narrow"/>
                <w:sz w:val="22"/>
                <w:szCs w:val="22"/>
              </w:rPr>
            </w:pPr>
            <w:r>
              <w:rPr>
                <w:rFonts w:ascii="Arial Narrow" w:hAnsi="Arial Narrow"/>
                <w:sz w:val="22"/>
                <w:szCs w:val="22"/>
              </w:rPr>
              <w:t>Der o.g. Kode aus Kapitel 6 gilt nur für die parenterale Gabe zur Konditionierung vor Stammzelltransplantation.</w:t>
            </w: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606B75B1" w14:textId="04517DE1" w:rsidR="008E6675" w:rsidRPr="007F255B" w:rsidRDefault="007477A3" w:rsidP="007477A3">
            <w:pPr>
              <w:rPr>
                <w:rFonts w:ascii="Arial Narrow" w:hAnsi="Arial Narrow"/>
                <w:sz w:val="22"/>
                <w:szCs w:val="22"/>
              </w:rPr>
            </w:pPr>
            <w:proofErr w:type="spellStart"/>
            <w:r>
              <w:rPr>
                <w:rFonts w:ascii="Arial Narrow" w:hAnsi="Arial Narrow"/>
                <w:sz w:val="22"/>
                <w:szCs w:val="22"/>
              </w:rPr>
              <w:t>Treosulfan</w:t>
            </w:r>
            <w:proofErr w:type="spellEnd"/>
            <w:r>
              <w:rPr>
                <w:rFonts w:ascii="Arial Narrow" w:hAnsi="Arial Narrow"/>
                <w:sz w:val="22"/>
                <w:szCs w:val="22"/>
              </w:rPr>
              <w:t xml:space="preserve"> </w:t>
            </w:r>
            <w:r w:rsidRPr="007477A3">
              <w:rPr>
                <w:rFonts w:ascii="Arial Narrow" w:hAnsi="Arial Narrow"/>
                <w:sz w:val="22"/>
                <w:szCs w:val="22"/>
              </w:rPr>
              <w:t>wird in Kombination mit</w:t>
            </w:r>
            <w:r>
              <w:rPr>
                <w:rFonts w:ascii="Arial Narrow" w:hAnsi="Arial Narrow"/>
                <w:sz w:val="22"/>
                <w:szCs w:val="22"/>
              </w:rPr>
              <w:t xml:space="preserve"> </w:t>
            </w:r>
            <w:proofErr w:type="spellStart"/>
            <w:r w:rsidRPr="007477A3">
              <w:rPr>
                <w:rFonts w:ascii="Arial Narrow" w:hAnsi="Arial Narrow"/>
                <w:sz w:val="22"/>
                <w:szCs w:val="22"/>
              </w:rPr>
              <w:t>Fludarabin</w:t>
            </w:r>
            <w:proofErr w:type="spellEnd"/>
            <w:r w:rsidRPr="007477A3">
              <w:rPr>
                <w:rFonts w:ascii="Arial Narrow" w:hAnsi="Arial Narrow"/>
                <w:sz w:val="22"/>
                <w:szCs w:val="22"/>
              </w:rPr>
              <w:t xml:space="preserve"> im Rahmen einer Konditionierungstherapie vor einer </w:t>
            </w:r>
            <w:proofErr w:type="spellStart"/>
            <w:r w:rsidRPr="007477A3">
              <w:rPr>
                <w:rFonts w:ascii="Arial Narrow" w:hAnsi="Arial Narrow"/>
                <w:sz w:val="22"/>
                <w:szCs w:val="22"/>
              </w:rPr>
              <w:t>allogenen</w:t>
            </w:r>
            <w:proofErr w:type="spellEnd"/>
            <w:r w:rsidRPr="007477A3">
              <w:rPr>
                <w:rFonts w:ascii="Arial Narrow" w:hAnsi="Arial Narrow"/>
                <w:sz w:val="22"/>
                <w:szCs w:val="22"/>
              </w:rPr>
              <w:t xml:space="preserve"> </w:t>
            </w:r>
            <w:proofErr w:type="spellStart"/>
            <w:r w:rsidRPr="007477A3">
              <w:rPr>
                <w:rFonts w:ascii="Arial Narrow" w:hAnsi="Arial Narrow"/>
                <w:sz w:val="22"/>
                <w:szCs w:val="22"/>
              </w:rPr>
              <w:t>hämatopoetischen</w:t>
            </w:r>
            <w:proofErr w:type="spellEnd"/>
            <w:r w:rsidRPr="007477A3">
              <w:rPr>
                <w:rFonts w:ascii="Arial Narrow" w:hAnsi="Arial Narrow"/>
                <w:sz w:val="22"/>
                <w:szCs w:val="22"/>
              </w:rPr>
              <w:t xml:space="preserve"> Stammzelltransplantation (</w:t>
            </w:r>
            <w:proofErr w:type="spellStart"/>
            <w:r w:rsidRPr="007477A3">
              <w:rPr>
                <w:rFonts w:ascii="Arial Narrow" w:hAnsi="Arial Narrow"/>
                <w:sz w:val="22"/>
                <w:szCs w:val="22"/>
              </w:rPr>
              <w:t>allo</w:t>
            </w:r>
            <w:proofErr w:type="spellEnd"/>
            <w:r w:rsidRPr="007477A3">
              <w:rPr>
                <w:rFonts w:ascii="Arial Narrow" w:hAnsi="Arial Narrow"/>
                <w:sz w:val="22"/>
                <w:szCs w:val="22"/>
              </w:rPr>
              <w:t>-HSCT) bei erwachsenen Patienten sowie</w:t>
            </w:r>
            <w:r>
              <w:rPr>
                <w:rFonts w:ascii="Arial Narrow" w:hAnsi="Arial Narrow"/>
                <w:sz w:val="22"/>
                <w:szCs w:val="22"/>
              </w:rPr>
              <w:t xml:space="preserve"> </w:t>
            </w:r>
            <w:r w:rsidRPr="007477A3">
              <w:rPr>
                <w:rFonts w:ascii="Arial Narrow" w:hAnsi="Arial Narrow"/>
                <w:sz w:val="22"/>
                <w:szCs w:val="22"/>
              </w:rPr>
              <w:t>Jugendlichen und Kindern älter als 1 Monat</w:t>
            </w:r>
            <w:r>
              <w:rPr>
                <w:rFonts w:ascii="Arial Narrow" w:hAnsi="Arial Narrow"/>
                <w:sz w:val="22"/>
                <w:szCs w:val="22"/>
              </w:rPr>
              <w:t xml:space="preserve"> </w:t>
            </w:r>
            <w:r w:rsidRPr="007477A3">
              <w:rPr>
                <w:rFonts w:ascii="Arial Narrow" w:hAnsi="Arial Narrow"/>
                <w:sz w:val="22"/>
                <w:szCs w:val="22"/>
              </w:rPr>
              <w:t>mit malignen und nicht-malignen Erkrankungen angewendet.</w:t>
            </w:r>
            <w:r>
              <w:rPr>
                <w:rFonts w:ascii="Arial Narrow" w:hAnsi="Arial Narrow"/>
                <w:sz w:val="22"/>
                <w:szCs w:val="22"/>
              </w:rPr>
              <w:t xml:space="preserve"> </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3EC3722F" w14:textId="66044B5E" w:rsidR="008E6675" w:rsidRPr="00C11458" w:rsidRDefault="008B4EAB" w:rsidP="008C1686">
            <w:pPr>
              <w:rPr>
                <w:rFonts w:ascii="Arial Narrow" w:hAnsi="Arial Narrow"/>
                <w:color w:val="00B050"/>
                <w:sz w:val="22"/>
                <w:szCs w:val="22"/>
              </w:rPr>
            </w:pPr>
            <w:r>
              <w:rPr>
                <w:rFonts w:ascii="Arial Narrow" w:hAnsi="Arial Narrow"/>
                <w:sz w:val="22"/>
                <w:szCs w:val="22"/>
              </w:rPr>
              <w:t xml:space="preserve">Bei der Konditionierungstherapie </w:t>
            </w:r>
            <w:r w:rsidRPr="007C1AE4">
              <w:rPr>
                <w:rFonts w:ascii="Arial Narrow" w:hAnsi="Arial Narrow"/>
                <w:sz w:val="22"/>
              </w:rPr>
              <w:t>vor einer SZT werden</w:t>
            </w:r>
            <w:r>
              <w:rPr>
                <w:rFonts w:ascii="Arial Narrow" w:hAnsi="Arial Narrow"/>
                <w:sz w:val="22"/>
                <w:szCs w:val="22"/>
              </w:rPr>
              <w:t xml:space="preserve"> verschiedene Zytostatika eingesetzt, diese werden damit teilweise abgelöst</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49AD9E93" w:rsidR="008E6675" w:rsidRPr="00383414" w:rsidRDefault="008E6675" w:rsidP="00C11458">
            <w:pPr>
              <w:rPr>
                <w:rFonts w:ascii="Arial Narrow" w:hAnsi="Arial Narrow"/>
                <w:sz w:val="22"/>
                <w:szCs w:val="22"/>
              </w:rPr>
            </w:pPr>
            <w:r w:rsidRPr="0036325A">
              <w:rPr>
                <w:rFonts w:ascii="Arial Narrow" w:hAnsi="Arial Narrow"/>
                <w:sz w:val="22"/>
                <w:szCs w:val="22"/>
              </w:rPr>
              <w:t>In den Informatione</w:t>
            </w:r>
            <w:r w:rsidR="00C11458">
              <w:rPr>
                <w:rFonts w:ascii="Arial Narrow" w:hAnsi="Arial Narrow"/>
                <w:sz w:val="22"/>
                <w:szCs w:val="22"/>
              </w:rPr>
              <w:t xml:space="preserve">n nach §6 Abs. 2 </w:t>
            </w:r>
            <w:proofErr w:type="spellStart"/>
            <w:r w:rsidR="00C11458">
              <w:rPr>
                <w:rFonts w:ascii="Arial Narrow" w:hAnsi="Arial Narrow"/>
                <w:sz w:val="22"/>
                <w:szCs w:val="22"/>
              </w:rPr>
              <w:t>KHEntgG</w:t>
            </w:r>
            <w:proofErr w:type="spellEnd"/>
            <w:r w:rsidR="00C11458">
              <w:rPr>
                <w:rFonts w:ascii="Arial Narrow" w:hAnsi="Arial Narrow"/>
                <w:sz w:val="22"/>
                <w:szCs w:val="22"/>
              </w:rPr>
              <w:t xml:space="preserve"> für 202</w:t>
            </w:r>
            <w:r w:rsidR="007F662B">
              <w:rPr>
                <w:rFonts w:ascii="Arial Narrow" w:hAnsi="Arial Narrow"/>
                <w:sz w:val="22"/>
                <w:szCs w:val="22"/>
              </w:rPr>
              <w:t>5</w:t>
            </w:r>
            <w:r w:rsidRPr="0036325A">
              <w:rPr>
                <w:rFonts w:ascii="Arial Narrow" w:hAnsi="Arial Narrow"/>
                <w:sz w:val="22"/>
                <w:szCs w:val="22"/>
              </w:rPr>
              <w:t xml:space="preserve"> hat </w:t>
            </w:r>
            <w:proofErr w:type="spellStart"/>
            <w:r w:rsidR="0025330A" w:rsidRPr="00015845">
              <w:rPr>
                <w:rFonts w:ascii="Arial Narrow" w:hAnsi="Arial Narrow"/>
                <w:sz w:val="22"/>
                <w:szCs w:val="22"/>
              </w:rPr>
              <w:t>Treosulfan</w:t>
            </w:r>
            <w:proofErr w:type="spellEnd"/>
            <w:r w:rsidR="009A0253">
              <w:rPr>
                <w:rFonts w:ascii="Arial Narrow" w:hAnsi="Arial Narrow"/>
                <w:sz w:val="22"/>
                <w:szCs w:val="22"/>
              </w:rPr>
              <w:t xml:space="preserve"> </w:t>
            </w:r>
            <w:r w:rsidR="0025330A">
              <w:rPr>
                <w:rFonts w:ascii="Arial Narrow" w:hAnsi="Arial Narrow"/>
                <w:sz w:val="22"/>
                <w:szCs w:val="22"/>
              </w:rPr>
              <w:t>zur Konditionierung vor Stammzelltransplantation</w:t>
            </w:r>
            <w:r w:rsidR="009A0253">
              <w:rPr>
                <w:rFonts w:ascii="Arial Narrow" w:hAnsi="Arial Narrow"/>
                <w:sz w:val="22"/>
                <w:szCs w:val="22"/>
              </w:rPr>
              <w:t xml:space="preserve"> </w:t>
            </w:r>
            <w:r w:rsidR="009A0253" w:rsidRPr="0036325A">
              <w:rPr>
                <w:rFonts w:ascii="Arial Narrow" w:hAnsi="Arial Narrow"/>
                <w:sz w:val="22"/>
                <w:szCs w:val="22"/>
              </w:rPr>
              <w:t xml:space="preserve">den Status </w:t>
            </w:r>
            <w:r w:rsidR="009A0253">
              <w:rPr>
                <w:rFonts w:ascii="Arial Narrow" w:hAnsi="Arial Narrow"/>
                <w:sz w:val="22"/>
                <w:szCs w:val="22"/>
              </w:rPr>
              <w:t>1.</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7B9086AA"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5443494D" w:rsidR="00D14350" w:rsidRPr="00C112A6" w:rsidRDefault="008B4EAB" w:rsidP="00C112A6">
            <w:pPr>
              <w:rPr>
                <w:rFonts w:ascii="Arial Narrow" w:hAnsi="Arial Narrow"/>
                <w:color w:val="00B050"/>
                <w:sz w:val="22"/>
              </w:rPr>
            </w:pPr>
            <w:r w:rsidRPr="00D47C12">
              <w:rPr>
                <w:rFonts w:ascii="Arial Narrow" w:hAnsi="Arial Narrow"/>
                <w:sz w:val="22"/>
              </w:rPr>
              <w:t>2019</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62E2100A" w:rsidR="00044597" w:rsidRPr="00C112A6" w:rsidRDefault="008B4EAB" w:rsidP="00C112A6">
            <w:pPr>
              <w:rPr>
                <w:rFonts w:ascii="Arial Narrow" w:hAnsi="Arial Narrow"/>
                <w:color w:val="00B050"/>
                <w:sz w:val="22"/>
              </w:rPr>
            </w:pPr>
            <w:r>
              <w:rPr>
                <w:rFonts w:ascii="Arial Narrow" w:hAnsi="Arial Narrow"/>
                <w:sz w:val="22"/>
                <w:szCs w:val="22"/>
              </w:rPr>
              <w:t>20.6.2019</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lastRenderedPageBreak/>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50BCFA53" w:rsidR="00C112A6" w:rsidRPr="005638EB" w:rsidRDefault="007F662B" w:rsidP="00383414">
            <w:pPr>
              <w:rPr>
                <w:rFonts w:ascii="Arial Narrow" w:hAnsi="Arial Narrow"/>
              </w:rPr>
            </w:pPr>
            <w:proofErr w:type="spellStart"/>
            <w:r w:rsidRPr="007F662B">
              <w:rPr>
                <w:rFonts w:ascii="Arial Narrow" w:hAnsi="Arial Narrow"/>
                <w:sz w:val="22"/>
                <w:szCs w:val="22"/>
              </w:rPr>
              <w:t>Treosulfan</w:t>
            </w:r>
            <w:proofErr w:type="spellEnd"/>
            <w:r w:rsidRPr="007F662B">
              <w:rPr>
                <w:rFonts w:ascii="Arial Narrow" w:hAnsi="Arial Narrow"/>
                <w:sz w:val="22"/>
                <w:szCs w:val="22"/>
              </w:rPr>
              <w:t xml:space="preserve"> wird in ca.340 Kliniken in Deutschland als NUB angefragt (Schätzung aufgrund der NUB-Anfragen des Vorjahres). Tatsächlich wird es in der Konditionierung vor Stammzelltransplantation von deutlich weniger Klinken verwendet (unter 100).</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4599C8CC"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867225">
              <w:rPr>
                <w:rFonts w:ascii="Arial Narrow" w:hAnsi="Arial Narrow"/>
                <w:b/>
                <w:sz w:val="22"/>
              </w:rPr>
              <w:t>4</w:t>
            </w:r>
            <w:r w:rsidR="000953D2">
              <w:rPr>
                <w:rFonts w:ascii="Arial Narrow" w:hAnsi="Arial Narrow"/>
                <w:b/>
                <w:sz w:val="22"/>
              </w:rPr>
              <w:t xml:space="preserve"> oder in 202</w:t>
            </w:r>
            <w:r w:rsidR="00867225">
              <w:rPr>
                <w:rFonts w:ascii="Arial Narrow" w:hAnsi="Arial Narrow"/>
                <w:b/>
                <w:sz w:val="22"/>
              </w:rPr>
              <w:t>5</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37B90424"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867225">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4FE09E3C"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867225">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772356BC"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867225">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4BCEE0A2" w14:textId="39C4A4BD" w:rsidR="008B4EAB" w:rsidRDefault="008B4EAB" w:rsidP="008B4EAB">
            <w:pPr>
              <w:rPr>
                <w:rFonts w:ascii="Arial Narrow" w:hAnsi="Arial Narrow"/>
                <w:sz w:val="22"/>
              </w:rPr>
            </w:pPr>
            <w:r w:rsidRPr="005638EB">
              <w:rPr>
                <w:rFonts w:ascii="Arial Narrow" w:hAnsi="Arial Narrow"/>
                <w:sz w:val="22"/>
              </w:rPr>
              <w:t xml:space="preserve">Sachkosten: </w:t>
            </w:r>
          </w:p>
          <w:p w14:paraId="76E0E2A7" w14:textId="77777777" w:rsidR="007F662B" w:rsidRDefault="007F662B" w:rsidP="007F662B">
            <w:pPr>
              <w:pStyle w:val="Default"/>
              <w:rPr>
                <w:sz w:val="22"/>
                <w:szCs w:val="22"/>
              </w:rPr>
            </w:pPr>
            <w:r>
              <w:rPr>
                <w:sz w:val="22"/>
                <w:szCs w:val="22"/>
              </w:rPr>
              <w:t xml:space="preserve">Bsp. Erwachsene: Durch die Gabe von </w:t>
            </w:r>
            <w:proofErr w:type="spellStart"/>
            <w:r>
              <w:rPr>
                <w:sz w:val="22"/>
                <w:szCs w:val="22"/>
              </w:rPr>
              <w:t>Treosulfan</w:t>
            </w:r>
            <w:proofErr w:type="spellEnd"/>
            <w:r>
              <w:rPr>
                <w:sz w:val="22"/>
                <w:szCs w:val="22"/>
              </w:rPr>
              <w:t xml:space="preserve"> entstehen Zusatzkosten für die zu verabreichende Therapie in Höhe von z.B.: </w:t>
            </w:r>
          </w:p>
          <w:p w14:paraId="179E650A" w14:textId="77777777" w:rsidR="007F662B" w:rsidRPr="007F662B" w:rsidRDefault="007F662B" w:rsidP="007F662B">
            <w:pPr>
              <w:rPr>
                <w:rFonts w:ascii="Arial Narrow" w:hAnsi="Arial Narrow"/>
                <w:sz w:val="22"/>
              </w:rPr>
            </w:pPr>
            <w:r w:rsidRPr="007F662B">
              <w:rPr>
                <w:rFonts w:ascii="Arial Narrow" w:hAnsi="Arial Narrow"/>
                <w:sz w:val="22"/>
              </w:rPr>
              <w:t>Dosis 3 x 10g/ m² Körperoberfläche. Bei 1,8 m² Körperoberfläche und 30 g / m², sind dies somit 54 g bei der Konditionierung vor Stammzelltransplantation</w:t>
            </w:r>
          </w:p>
          <w:p w14:paraId="3296EB9A" w14:textId="77777777" w:rsidR="007F662B" w:rsidRPr="007F662B" w:rsidRDefault="007F662B" w:rsidP="007F662B">
            <w:pPr>
              <w:rPr>
                <w:rFonts w:ascii="Arial Narrow" w:hAnsi="Arial Narrow"/>
                <w:sz w:val="22"/>
              </w:rPr>
            </w:pPr>
            <w:r w:rsidRPr="007F662B">
              <w:rPr>
                <w:rFonts w:ascii="Arial Narrow" w:hAnsi="Arial Narrow"/>
                <w:sz w:val="22"/>
              </w:rPr>
              <w:t>Packungsgröße 1 oder 5 g</w:t>
            </w:r>
          </w:p>
          <w:p w14:paraId="62D94AE9" w14:textId="77777777" w:rsidR="007F662B" w:rsidRPr="007F662B" w:rsidRDefault="007F662B" w:rsidP="007F662B">
            <w:pPr>
              <w:rPr>
                <w:rFonts w:ascii="Arial Narrow" w:hAnsi="Arial Narrow"/>
                <w:sz w:val="22"/>
              </w:rPr>
            </w:pPr>
            <w:r w:rsidRPr="007F662B">
              <w:rPr>
                <w:rFonts w:ascii="Arial Narrow" w:hAnsi="Arial Narrow"/>
                <w:sz w:val="22"/>
              </w:rPr>
              <w:t xml:space="preserve">Preis pro Packung: 1g 141,86 €, bzw. 5g 667,44 € (laut Gelbe Liste inkl. </w:t>
            </w:r>
            <w:proofErr w:type="spellStart"/>
            <w:r w:rsidRPr="007F662B">
              <w:rPr>
                <w:rFonts w:ascii="Arial Narrow" w:hAnsi="Arial Narrow"/>
                <w:sz w:val="22"/>
              </w:rPr>
              <w:t>MWSt</w:t>
            </w:r>
            <w:proofErr w:type="spellEnd"/>
            <w:r w:rsidRPr="007F662B">
              <w:rPr>
                <w:rFonts w:ascii="Arial Narrow" w:hAnsi="Arial Narrow"/>
                <w:sz w:val="22"/>
              </w:rPr>
              <w:t>, (AVP/UVP) Preis Stand 3.8.2025).</w:t>
            </w:r>
          </w:p>
          <w:p w14:paraId="451BAFED" w14:textId="77777777" w:rsidR="007F662B" w:rsidRPr="007F662B" w:rsidRDefault="007F662B" w:rsidP="007F662B">
            <w:pPr>
              <w:rPr>
                <w:rFonts w:ascii="Arial Narrow" w:hAnsi="Arial Narrow"/>
                <w:sz w:val="22"/>
              </w:rPr>
            </w:pPr>
            <w:r w:rsidRPr="007F662B">
              <w:rPr>
                <w:rFonts w:ascii="Arial Narrow" w:hAnsi="Arial Narrow"/>
                <w:sz w:val="22"/>
              </w:rPr>
              <w:t>Preis obiges Beispiel: 7.241,68 € (10 x 667,44 € plus 4 x 141,86 €).</w:t>
            </w:r>
          </w:p>
          <w:p w14:paraId="5238E46C" w14:textId="77777777" w:rsidR="007F662B" w:rsidRPr="007F662B" w:rsidRDefault="007F662B" w:rsidP="007F662B">
            <w:pPr>
              <w:rPr>
                <w:rFonts w:ascii="Arial Narrow" w:hAnsi="Arial Narrow"/>
                <w:sz w:val="22"/>
              </w:rPr>
            </w:pPr>
            <w:r w:rsidRPr="007F662B">
              <w:rPr>
                <w:rFonts w:ascii="Arial Narrow" w:hAnsi="Arial Narrow"/>
                <w:sz w:val="22"/>
              </w:rPr>
              <w:t xml:space="preserve">Bsp. Kinder: Durch die Gabe von </w:t>
            </w:r>
            <w:proofErr w:type="spellStart"/>
            <w:r w:rsidRPr="007F662B">
              <w:rPr>
                <w:rFonts w:ascii="Arial Narrow" w:hAnsi="Arial Narrow"/>
                <w:sz w:val="22"/>
              </w:rPr>
              <w:t>Treosulfan</w:t>
            </w:r>
            <w:proofErr w:type="spellEnd"/>
            <w:r w:rsidRPr="007F662B">
              <w:rPr>
                <w:rFonts w:ascii="Arial Narrow" w:hAnsi="Arial Narrow"/>
                <w:sz w:val="22"/>
              </w:rPr>
              <w:t xml:space="preserve"> entstehen Zusatzkosten für die zu verabreichende Therapie in Höhe von z.B.:</w:t>
            </w:r>
          </w:p>
          <w:p w14:paraId="6B9FEE74" w14:textId="77777777" w:rsidR="007F662B" w:rsidRPr="007F662B" w:rsidRDefault="007F662B" w:rsidP="007F662B">
            <w:pPr>
              <w:rPr>
                <w:rFonts w:ascii="Arial Narrow" w:hAnsi="Arial Narrow"/>
                <w:sz w:val="22"/>
              </w:rPr>
            </w:pPr>
            <w:r w:rsidRPr="007F662B">
              <w:rPr>
                <w:rFonts w:ascii="Arial Narrow" w:hAnsi="Arial Narrow"/>
                <w:sz w:val="22"/>
              </w:rPr>
              <w:t>Dosis 3 x 10 bis 14 g². Bei 1,0 m² Körperoberfläche, 3 x 14 g/m² = 42 g / m², somit 42 g bei der Konditionierung vor Stammzelltransplantation</w:t>
            </w:r>
          </w:p>
          <w:p w14:paraId="718BD591" w14:textId="77777777" w:rsidR="007F662B" w:rsidRPr="007F662B" w:rsidRDefault="007F662B" w:rsidP="007F662B">
            <w:pPr>
              <w:rPr>
                <w:rFonts w:ascii="Arial Narrow" w:hAnsi="Arial Narrow"/>
                <w:sz w:val="22"/>
              </w:rPr>
            </w:pPr>
            <w:r w:rsidRPr="007F662B">
              <w:rPr>
                <w:rFonts w:ascii="Arial Narrow" w:hAnsi="Arial Narrow"/>
                <w:sz w:val="22"/>
              </w:rPr>
              <w:t>Packungsgröße 1 oder 5 g</w:t>
            </w:r>
          </w:p>
          <w:p w14:paraId="1C8D1E94" w14:textId="77777777" w:rsidR="007F662B" w:rsidRPr="007F662B" w:rsidRDefault="007F662B" w:rsidP="007F662B">
            <w:pPr>
              <w:rPr>
                <w:rFonts w:ascii="Arial Narrow" w:hAnsi="Arial Narrow"/>
                <w:sz w:val="22"/>
              </w:rPr>
            </w:pPr>
            <w:r w:rsidRPr="007F662B">
              <w:rPr>
                <w:rFonts w:ascii="Arial Narrow" w:hAnsi="Arial Narrow"/>
                <w:sz w:val="22"/>
              </w:rPr>
              <w:t xml:space="preserve">Preis pro Packung: 1g 141,86 €, bzw. 5g 667,44 € (laut Gelbe Liste inkl. </w:t>
            </w:r>
            <w:proofErr w:type="spellStart"/>
            <w:r w:rsidRPr="007F662B">
              <w:rPr>
                <w:rFonts w:ascii="Arial Narrow" w:hAnsi="Arial Narrow"/>
                <w:sz w:val="22"/>
              </w:rPr>
              <w:t>MWSt</w:t>
            </w:r>
            <w:proofErr w:type="spellEnd"/>
            <w:r w:rsidRPr="007F662B">
              <w:rPr>
                <w:rFonts w:ascii="Arial Narrow" w:hAnsi="Arial Narrow"/>
                <w:sz w:val="22"/>
              </w:rPr>
              <w:t>, (AVP/UVP) Preis Stand 3.8.2025).</w:t>
            </w:r>
          </w:p>
          <w:p w14:paraId="6CDAD3D4" w14:textId="77777777" w:rsidR="007F662B" w:rsidRPr="007F662B" w:rsidRDefault="007F662B" w:rsidP="007F662B">
            <w:pPr>
              <w:rPr>
                <w:rFonts w:ascii="Arial Narrow" w:hAnsi="Arial Narrow"/>
                <w:sz w:val="22"/>
              </w:rPr>
            </w:pPr>
            <w:r w:rsidRPr="007F662B">
              <w:rPr>
                <w:rFonts w:ascii="Arial Narrow" w:hAnsi="Arial Narrow"/>
                <w:sz w:val="22"/>
              </w:rPr>
              <w:t>Preis obiges Beispiel: 5.623,16 € (8 x 667,44 € plus 2 x 141,86 €).</w:t>
            </w:r>
          </w:p>
          <w:p w14:paraId="21FD5179" w14:textId="77777777" w:rsidR="007F662B" w:rsidRPr="007F662B" w:rsidRDefault="007F662B" w:rsidP="007F662B">
            <w:pPr>
              <w:rPr>
                <w:rFonts w:ascii="Arial Narrow" w:hAnsi="Arial Narrow"/>
                <w:sz w:val="22"/>
              </w:rPr>
            </w:pPr>
            <w:r w:rsidRPr="007F662B">
              <w:rPr>
                <w:rFonts w:ascii="Arial Narrow" w:hAnsi="Arial Narrow"/>
                <w:sz w:val="22"/>
              </w:rPr>
              <w:t>Personalkosten</w:t>
            </w:r>
          </w:p>
          <w:p w14:paraId="0E2B4057" w14:textId="77777777" w:rsidR="007F662B" w:rsidRPr="007F662B" w:rsidRDefault="007F662B" w:rsidP="007F662B">
            <w:pPr>
              <w:rPr>
                <w:rFonts w:ascii="Arial Narrow" w:hAnsi="Arial Narrow"/>
                <w:sz w:val="22"/>
              </w:rPr>
            </w:pPr>
            <w:r w:rsidRPr="007F662B">
              <w:rPr>
                <w:rFonts w:ascii="Arial Narrow" w:hAnsi="Arial Narrow"/>
                <w:sz w:val="22"/>
              </w:rPr>
              <w:t>Für die Zubereitung: ca. 10 Minuten (MTD Apotheke)</w:t>
            </w:r>
          </w:p>
          <w:p w14:paraId="2C4FF19E" w14:textId="77777777" w:rsidR="007F662B" w:rsidRPr="007F662B" w:rsidRDefault="007F662B" w:rsidP="007F662B">
            <w:pPr>
              <w:rPr>
                <w:rFonts w:ascii="Arial Narrow" w:hAnsi="Arial Narrow"/>
                <w:sz w:val="22"/>
              </w:rPr>
            </w:pPr>
            <w:r w:rsidRPr="007F662B">
              <w:rPr>
                <w:rFonts w:ascii="Arial Narrow" w:hAnsi="Arial Narrow"/>
                <w:sz w:val="22"/>
              </w:rPr>
              <w:t>Für die Applikation: ca. 5 Minuten (ÄD) und ca. 5 Minuten (PD)</w:t>
            </w:r>
          </w:p>
          <w:p w14:paraId="7D03D20B" w14:textId="11F51417" w:rsidR="00156FE0" w:rsidRPr="001774E7" w:rsidRDefault="007F662B" w:rsidP="007F662B">
            <w:pPr>
              <w:rPr>
                <w:rFonts w:ascii="Arial Narrow" w:hAnsi="Arial Narrow"/>
                <w:color w:val="548DD4" w:themeColor="text2" w:themeTint="99"/>
              </w:rPr>
            </w:pPr>
            <w:r w:rsidRPr="007F662B">
              <w:rPr>
                <w:rFonts w:ascii="Arial Narrow" w:hAnsi="Arial Narrow"/>
                <w:sz w:val="22"/>
              </w:rPr>
              <w:t>Für die Überwachung: ca. 30 Minuten (PD), ca. 10 Minuten (ÄD)</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605ABFF2" w14:textId="77777777" w:rsidR="007F662B" w:rsidRPr="007F662B" w:rsidRDefault="007F662B" w:rsidP="007F662B">
            <w:pPr>
              <w:rPr>
                <w:rFonts w:ascii="Arial Narrow" w:hAnsi="Arial Narrow"/>
                <w:sz w:val="22"/>
                <w:lang w:val="en-GB"/>
              </w:rPr>
            </w:pPr>
            <w:r w:rsidRPr="007F662B">
              <w:rPr>
                <w:rFonts w:ascii="Arial Narrow" w:hAnsi="Arial Narrow"/>
                <w:sz w:val="22"/>
                <w:lang w:val="en-GB"/>
              </w:rPr>
              <w:t>A04E</w:t>
            </w:r>
          </w:p>
          <w:p w14:paraId="14827F42" w14:textId="77777777" w:rsidR="007F662B" w:rsidRPr="007F662B" w:rsidRDefault="007F662B" w:rsidP="007F662B">
            <w:pPr>
              <w:rPr>
                <w:rFonts w:ascii="Arial Narrow" w:hAnsi="Arial Narrow"/>
                <w:sz w:val="22"/>
                <w:lang w:val="en-GB"/>
              </w:rPr>
            </w:pPr>
            <w:r w:rsidRPr="007F662B">
              <w:rPr>
                <w:rFonts w:ascii="Arial Narrow" w:hAnsi="Arial Narrow"/>
                <w:sz w:val="22"/>
                <w:lang w:val="en-GB"/>
              </w:rPr>
              <w:t>A04D</w:t>
            </w:r>
          </w:p>
          <w:p w14:paraId="6D58C05F" w14:textId="77777777" w:rsidR="007F662B" w:rsidRPr="007F662B" w:rsidRDefault="007F662B" w:rsidP="007F662B">
            <w:pPr>
              <w:rPr>
                <w:rFonts w:ascii="Arial Narrow" w:hAnsi="Arial Narrow"/>
                <w:sz w:val="22"/>
                <w:lang w:val="en-GB"/>
              </w:rPr>
            </w:pPr>
            <w:r w:rsidRPr="007F662B">
              <w:rPr>
                <w:rFonts w:ascii="Arial Narrow" w:hAnsi="Arial Narrow"/>
                <w:sz w:val="22"/>
                <w:lang w:val="en-GB"/>
              </w:rPr>
              <w:t>A04C</w:t>
            </w:r>
          </w:p>
          <w:p w14:paraId="00D8DB9A" w14:textId="77777777" w:rsidR="007F662B" w:rsidRPr="007F662B" w:rsidRDefault="007F662B" w:rsidP="007F662B">
            <w:pPr>
              <w:rPr>
                <w:rFonts w:ascii="Arial Narrow" w:hAnsi="Arial Narrow"/>
                <w:sz w:val="22"/>
                <w:lang w:val="en-GB"/>
              </w:rPr>
            </w:pPr>
            <w:r w:rsidRPr="007F662B">
              <w:rPr>
                <w:rFonts w:ascii="Arial Narrow" w:hAnsi="Arial Narrow"/>
                <w:sz w:val="22"/>
                <w:lang w:val="en-GB"/>
              </w:rPr>
              <w:t>A04B</w:t>
            </w:r>
          </w:p>
          <w:p w14:paraId="3FDE8751" w14:textId="1A6D4364" w:rsidR="008E6675" w:rsidRPr="00A100DC" w:rsidRDefault="007F662B" w:rsidP="007F662B">
            <w:pPr>
              <w:rPr>
                <w:rFonts w:ascii="Arial Narrow" w:hAnsi="Arial Narrow"/>
                <w:color w:val="00B050"/>
                <w:sz w:val="22"/>
              </w:rPr>
            </w:pPr>
            <w:r w:rsidRPr="007F662B">
              <w:rPr>
                <w:rFonts w:ascii="Arial Narrow" w:hAnsi="Arial Narrow"/>
                <w:sz w:val="22"/>
                <w:lang w:val="en-GB"/>
              </w:rPr>
              <w:t>A36A</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43DBD9AE" w14:textId="072380DE" w:rsidR="008B4EAB" w:rsidRPr="00015845" w:rsidRDefault="008B4EAB" w:rsidP="008B4EAB">
            <w:pPr>
              <w:rPr>
                <w:rFonts w:ascii="Arial Narrow" w:hAnsi="Arial Narrow"/>
                <w:sz w:val="22"/>
                <w:szCs w:val="22"/>
              </w:rPr>
            </w:pPr>
            <w:proofErr w:type="spellStart"/>
            <w:r w:rsidRPr="00015845">
              <w:rPr>
                <w:rFonts w:ascii="Arial Narrow" w:hAnsi="Arial Narrow"/>
                <w:sz w:val="22"/>
                <w:szCs w:val="22"/>
              </w:rPr>
              <w:t>Treosulfan</w:t>
            </w:r>
            <w:proofErr w:type="spellEnd"/>
            <w:r w:rsidRPr="00015845">
              <w:rPr>
                <w:rFonts w:ascii="Arial Narrow" w:hAnsi="Arial Narrow"/>
                <w:sz w:val="22"/>
                <w:szCs w:val="22"/>
              </w:rPr>
              <w:t xml:space="preserve"> wurde im Jahr 2019 zugelassen für die Indikation Stammzelltransplantation und ist seit dem Jahr 2019 in Deutschland auf dem Markt. </w:t>
            </w:r>
          </w:p>
          <w:p w14:paraId="643AB157" w14:textId="0CFBE616" w:rsidR="008B4EAB" w:rsidRPr="00015845" w:rsidRDefault="008B4EAB" w:rsidP="008B4EAB">
            <w:pPr>
              <w:rPr>
                <w:rFonts w:ascii="Arial Narrow" w:hAnsi="Arial Narrow"/>
                <w:sz w:val="22"/>
                <w:szCs w:val="22"/>
              </w:rPr>
            </w:pPr>
            <w:r w:rsidRPr="00015845">
              <w:rPr>
                <w:rFonts w:ascii="Arial Narrow" w:hAnsi="Arial Narrow"/>
                <w:sz w:val="22"/>
                <w:szCs w:val="22"/>
              </w:rPr>
              <w:t>Für das Datenjahr 202</w:t>
            </w:r>
            <w:r w:rsidR="007F662B">
              <w:rPr>
                <w:rFonts w:ascii="Arial Narrow" w:hAnsi="Arial Narrow"/>
                <w:sz w:val="22"/>
                <w:szCs w:val="22"/>
              </w:rPr>
              <w:t>4</w:t>
            </w:r>
            <w:r w:rsidRPr="00015845">
              <w:rPr>
                <w:rFonts w:ascii="Arial Narrow" w:hAnsi="Arial Narrow"/>
                <w:sz w:val="22"/>
                <w:szCs w:val="22"/>
              </w:rPr>
              <w:t xml:space="preserve"> sollten aus den Kalkulationshäusern Kostendaten für den Einsatz vorliegen. </w:t>
            </w:r>
          </w:p>
          <w:p w14:paraId="3AB23B3C" w14:textId="2B7C3CA8" w:rsidR="008B4EAB" w:rsidRPr="00015845" w:rsidRDefault="008B4EAB" w:rsidP="008B4EAB">
            <w:pPr>
              <w:rPr>
                <w:rFonts w:ascii="Arial Narrow" w:hAnsi="Arial Narrow"/>
                <w:sz w:val="22"/>
                <w:szCs w:val="22"/>
              </w:rPr>
            </w:pPr>
            <w:r w:rsidRPr="00015845">
              <w:rPr>
                <w:rFonts w:ascii="Arial Narrow" w:hAnsi="Arial Narrow"/>
                <w:sz w:val="22"/>
                <w:szCs w:val="22"/>
              </w:rPr>
              <w:t>Wir vermuten, dass die Stichprobe jedoch zu klein war, als dass genügend Kosten- und Leistungsinformationen aus den Krankenhäusern vorliegen, um damit eine sachgerechte Abbildung im G-DRG System 202</w:t>
            </w:r>
            <w:r w:rsidR="007F662B">
              <w:rPr>
                <w:rFonts w:ascii="Arial Narrow" w:hAnsi="Arial Narrow"/>
                <w:sz w:val="22"/>
                <w:szCs w:val="22"/>
              </w:rPr>
              <w:t>6</w:t>
            </w:r>
            <w:r w:rsidRPr="00015845">
              <w:rPr>
                <w:rFonts w:ascii="Arial Narrow" w:hAnsi="Arial Narrow"/>
                <w:sz w:val="22"/>
                <w:szCs w:val="22"/>
              </w:rPr>
              <w:t xml:space="preserve"> zu ermöglichen.</w:t>
            </w:r>
          </w:p>
          <w:p w14:paraId="62974476" w14:textId="6A3A9ED7" w:rsidR="008B4EAB" w:rsidRPr="00015845" w:rsidRDefault="008B4EAB" w:rsidP="008B4EAB">
            <w:pPr>
              <w:rPr>
                <w:rFonts w:ascii="Arial Narrow" w:hAnsi="Arial Narrow"/>
                <w:sz w:val="22"/>
                <w:szCs w:val="22"/>
              </w:rPr>
            </w:pPr>
            <w:r w:rsidRPr="00015845">
              <w:rPr>
                <w:rFonts w:ascii="Arial Narrow" w:hAnsi="Arial Narrow"/>
                <w:sz w:val="22"/>
                <w:szCs w:val="22"/>
              </w:rPr>
              <w:t xml:space="preserve">Die zusätzlichen Kosten von ca. </w:t>
            </w:r>
            <w:r w:rsidR="009A0253">
              <w:rPr>
                <w:rFonts w:ascii="Arial Narrow" w:hAnsi="Arial Narrow"/>
                <w:sz w:val="22"/>
                <w:szCs w:val="22"/>
              </w:rPr>
              <w:t xml:space="preserve">5.600 € (Kinder) oder </w:t>
            </w:r>
            <w:r w:rsidR="000C5AD5" w:rsidRPr="00015845">
              <w:rPr>
                <w:rFonts w:ascii="Arial Narrow" w:hAnsi="Arial Narrow"/>
                <w:sz w:val="22"/>
                <w:szCs w:val="22"/>
              </w:rPr>
              <w:t>7</w:t>
            </w:r>
            <w:r w:rsidR="009A0253">
              <w:rPr>
                <w:rFonts w:ascii="Arial Narrow" w:hAnsi="Arial Narrow"/>
                <w:sz w:val="22"/>
                <w:szCs w:val="22"/>
              </w:rPr>
              <w:t>.200</w:t>
            </w:r>
            <w:r w:rsidR="000C5AD5" w:rsidRPr="00015845">
              <w:rPr>
                <w:rFonts w:ascii="Arial Narrow" w:hAnsi="Arial Narrow"/>
                <w:sz w:val="22"/>
                <w:szCs w:val="22"/>
              </w:rPr>
              <w:t xml:space="preserve"> </w:t>
            </w:r>
            <w:r w:rsidRPr="00015845">
              <w:rPr>
                <w:rFonts w:ascii="Arial Narrow" w:hAnsi="Arial Narrow"/>
                <w:sz w:val="22"/>
                <w:szCs w:val="22"/>
              </w:rPr>
              <w:t xml:space="preserve">€ </w:t>
            </w:r>
            <w:r w:rsidR="009A0253">
              <w:rPr>
                <w:rFonts w:ascii="Arial Narrow" w:hAnsi="Arial Narrow"/>
                <w:sz w:val="22"/>
                <w:szCs w:val="22"/>
              </w:rPr>
              <w:t xml:space="preserve">(Erwachsene) </w:t>
            </w:r>
            <w:r w:rsidRPr="00015845">
              <w:rPr>
                <w:rFonts w:ascii="Arial Narrow" w:hAnsi="Arial Narrow"/>
                <w:sz w:val="22"/>
                <w:szCs w:val="22"/>
              </w:rPr>
              <w:t>pro Applikation/Aufenthalt können aber mit den o.g. Fallpauschale</w:t>
            </w:r>
            <w:r>
              <w:rPr>
                <w:rFonts w:ascii="Arial Narrow" w:hAnsi="Arial Narrow"/>
                <w:sz w:val="22"/>
                <w:szCs w:val="22"/>
              </w:rPr>
              <w:t>n</w:t>
            </w:r>
            <w:r w:rsidRPr="00015845">
              <w:rPr>
                <w:rFonts w:ascii="Arial Narrow" w:hAnsi="Arial Narrow"/>
                <w:sz w:val="22"/>
                <w:szCs w:val="22"/>
              </w:rPr>
              <w:t xml:space="preserve"> allein nicht ausreichend abgebildet werden und </w:t>
            </w:r>
            <w:proofErr w:type="spellStart"/>
            <w:r w:rsidRPr="00015845">
              <w:rPr>
                <w:rFonts w:ascii="Arial Narrow" w:hAnsi="Arial Narrow"/>
                <w:sz w:val="22"/>
                <w:szCs w:val="22"/>
              </w:rPr>
              <w:t>Treosulfan</w:t>
            </w:r>
            <w:proofErr w:type="spellEnd"/>
            <w:r w:rsidRPr="00015845">
              <w:rPr>
                <w:rFonts w:ascii="Arial Narrow" w:hAnsi="Arial Narrow"/>
                <w:sz w:val="22"/>
                <w:szCs w:val="22"/>
              </w:rPr>
              <w:t xml:space="preserve"> ist bisher im ZE Katalog nicht enthalten.</w:t>
            </w:r>
          </w:p>
          <w:p w14:paraId="602A50A3" w14:textId="081AFE63" w:rsidR="008B4EAB" w:rsidRPr="00015845" w:rsidRDefault="008B4EAB" w:rsidP="008B4EAB">
            <w:pPr>
              <w:rPr>
                <w:rFonts w:ascii="Arial Narrow" w:hAnsi="Arial Narrow"/>
                <w:sz w:val="22"/>
                <w:szCs w:val="22"/>
              </w:rPr>
            </w:pPr>
            <w:r w:rsidRPr="00015845">
              <w:rPr>
                <w:rFonts w:ascii="Arial Narrow" w:hAnsi="Arial Narrow"/>
                <w:sz w:val="22"/>
                <w:szCs w:val="22"/>
              </w:rPr>
              <w:t>Andere hochpreisige Chemotherapeutika, die bei der Konditionierung vor Stammzelltransplantation verwendet werden, werden</w:t>
            </w:r>
            <w:r>
              <w:rPr>
                <w:rFonts w:ascii="Arial Narrow" w:hAnsi="Arial Narrow"/>
                <w:sz w:val="22"/>
                <w:szCs w:val="22"/>
              </w:rPr>
              <w:t xml:space="preserve"> </w:t>
            </w:r>
            <w:r w:rsidRPr="00015845">
              <w:rPr>
                <w:rFonts w:ascii="Arial Narrow" w:hAnsi="Arial Narrow"/>
                <w:sz w:val="22"/>
                <w:szCs w:val="22"/>
              </w:rPr>
              <w:t>überwiegend als ZE vergütet (</w:t>
            </w:r>
            <w:proofErr w:type="spellStart"/>
            <w:r w:rsidRPr="00015845">
              <w:rPr>
                <w:rFonts w:ascii="Arial Narrow" w:hAnsi="Arial Narrow"/>
                <w:sz w:val="22"/>
                <w:szCs w:val="22"/>
              </w:rPr>
              <w:t>Thiotepa</w:t>
            </w:r>
            <w:proofErr w:type="spellEnd"/>
            <w:r w:rsidRPr="00015845">
              <w:rPr>
                <w:rFonts w:ascii="Arial Narrow" w:hAnsi="Arial Narrow"/>
                <w:sz w:val="22"/>
                <w:szCs w:val="22"/>
              </w:rPr>
              <w:t xml:space="preserve"> (ZE202</w:t>
            </w:r>
            <w:r w:rsidR="007F662B">
              <w:rPr>
                <w:rFonts w:ascii="Arial Narrow" w:hAnsi="Arial Narrow"/>
                <w:sz w:val="22"/>
                <w:szCs w:val="22"/>
              </w:rPr>
              <w:t>5</w:t>
            </w:r>
            <w:r w:rsidRPr="00015845">
              <w:rPr>
                <w:rFonts w:ascii="Arial Narrow" w:hAnsi="Arial Narrow"/>
                <w:sz w:val="22"/>
                <w:szCs w:val="22"/>
              </w:rPr>
              <w:t>-132</w:t>
            </w:r>
            <w:r w:rsidR="007F662B">
              <w:rPr>
                <w:rFonts w:ascii="Arial Narrow" w:hAnsi="Arial Narrow"/>
                <w:sz w:val="22"/>
                <w:szCs w:val="22"/>
              </w:rPr>
              <w:t>)</w:t>
            </w:r>
            <w:r w:rsidRPr="00015845">
              <w:rPr>
                <w:rFonts w:ascii="Arial Narrow" w:hAnsi="Arial Narrow"/>
                <w:sz w:val="22"/>
                <w:szCs w:val="22"/>
              </w:rPr>
              <w:t xml:space="preserve">, </w:t>
            </w:r>
            <w:proofErr w:type="spellStart"/>
            <w:r w:rsidRPr="00015845">
              <w:rPr>
                <w:rFonts w:ascii="Arial Narrow" w:hAnsi="Arial Narrow"/>
                <w:sz w:val="22"/>
                <w:szCs w:val="22"/>
              </w:rPr>
              <w:t>Busulfan</w:t>
            </w:r>
            <w:proofErr w:type="spellEnd"/>
            <w:r w:rsidRPr="00015845">
              <w:rPr>
                <w:rFonts w:ascii="Arial Narrow" w:hAnsi="Arial Narrow"/>
                <w:sz w:val="22"/>
                <w:szCs w:val="22"/>
              </w:rPr>
              <w:t xml:space="preserve"> </w:t>
            </w:r>
            <w:proofErr w:type="spellStart"/>
            <w:r w:rsidRPr="00015845">
              <w:rPr>
                <w:rFonts w:ascii="Arial Narrow" w:hAnsi="Arial Narrow"/>
                <w:sz w:val="22"/>
                <w:szCs w:val="22"/>
              </w:rPr>
              <w:t>i.v.</w:t>
            </w:r>
            <w:proofErr w:type="spellEnd"/>
            <w:r w:rsidR="00C27CFD">
              <w:rPr>
                <w:rFonts w:ascii="Arial Narrow" w:hAnsi="Arial Narrow"/>
                <w:sz w:val="22"/>
                <w:szCs w:val="22"/>
              </w:rPr>
              <w:t xml:space="preserve"> </w:t>
            </w:r>
            <w:r w:rsidRPr="00015845">
              <w:rPr>
                <w:rFonts w:ascii="Arial Narrow" w:hAnsi="Arial Narrow"/>
                <w:sz w:val="22"/>
                <w:szCs w:val="22"/>
              </w:rPr>
              <w:t>(ZE202</w:t>
            </w:r>
            <w:r w:rsidR="007F662B">
              <w:rPr>
                <w:rFonts w:ascii="Arial Narrow" w:hAnsi="Arial Narrow"/>
                <w:sz w:val="22"/>
                <w:szCs w:val="22"/>
              </w:rPr>
              <w:t>5</w:t>
            </w:r>
            <w:r w:rsidRPr="00015845">
              <w:rPr>
                <w:rFonts w:ascii="Arial Narrow" w:hAnsi="Arial Narrow"/>
                <w:sz w:val="22"/>
                <w:szCs w:val="22"/>
              </w:rPr>
              <w:t>-150)</w:t>
            </w:r>
            <w:r w:rsidR="000C5AD5">
              <w:rPr>
                <w:rFonts w:ascii="Arial Narrow" w:hAnsi="Arial Narrow"/>
                <w:sz w:val="22"/>
                <w:szCs w:val="22"/>
              </w:rPr>
              <w:t>)</w:t>
            </w:r>
            <w:r w:rsidRPr="00015845">
              <w:rPr>
                <w:rFonts w:ascii="Arial Narrow" w:hAnsi="Arial Narrow"/>
                <w:sz w:val="22"/>
                <w:szCs w:val="22"/>
              </w:rPr>
              <w:t xml:space="preserve"> </w:t>
            </w:r>
          </w:p>
          <w:p w14:paraId="222643B9" w14:textId="52645B06" w:rsidR="008E6675" w:rsidRPr="00ED4386" w:rsidRDefault="008B4EAB" w:rsidP="008B4EAB">
            <w:pPr>
              <w:rPr>
                <w:rFonts w:ascii="Arial Narrow" w:hAnsi="Arial Narrow"/>
                <w:sz w:val="22"/>
              </w:rPr>
            </w:pPr>
            <w:r w:rsidRPr="00015845">
              <w:rPr>
                <w:rFonts w:ascii="Arial Narrow" w:hAnsi="Arial Narrow"/>
                <w:sz w:val="22"/>
                <w:szCs w:val="22"/>
              </w:rPr>
              <w:t>Aufgrund der hohen Kosten des Medikaments kommt es zu einer Unterfinanzierung in der/den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8B08" w14:textId="77777777" w:rsidR="00DB15F8" w:rsidRDefault="00DB15F8">
      <w:r>
        <w:separator/>
      </w:r>
    </w:p>
  </w:endnote>
  <w:endnote w:type="continuationSeparator" w:id="0">
    <w:p w14:paraId="4A196860" w14:textId="77777777" w:rsidR="00DB15F8" w:rsidRDefault="00DB15F8">
      <w:r>
        <w:continuationSeparator/>
      </w:r>
    </w:p>
  </w:endnote>
  <w:endnote w:type="continuationNotice" w:id="1">
    <w:p w14:paraId="051A6464" w14:textId="77777777" w:rsidR="00DB15F8" w:rsidRDefault="00DB1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62CC9" w14:textId="77777777" w:rsidR="007F662B" w:rsidRDefault="007F66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199C4" w14:textId="048A7CF8" w:rsidR="00833347" w:rsidRPr="000E4B33" w:rsidRDefault="00833347" w:rsidP="00833347">
    <w:pPr>
      <w:pStyle w:val="Fuzeile"/>
      <w:rPr>
        <w:rFonts w:ascii="Arial Narrow" w:hAnsi="Arial Narrow"/>
        <w:sz w:val="22"/>
        <w:szCs w:val="22"/>
      </w:rPr>
    </w:pPr>
    <w:r w:rsidRPr="000E4B33">
      <w:rPr>
        <w:rFonts w:ascii="Arial Narrow" w:hAnsi="Arial Narrow"/>
        <w:sz w:val="22"/>
        <w:szCs w:val="22"/>
      </w:rPr>
      <w:t xml:space="preserve">NUB-Musteranfrage </w:t>
    </w:r>
    <w:proofErr w:type="spellStart"/>
    <w:r w:rsidRPr="000E4B33">
      <w:rPr>
        <w:rFonts w:ascii="Arial Narrow" w:hAnsi="Arial Narrow"/>
        <w:sz w:val="22"/>
        <w:szCs w:val="22"/>
      </w:rPr>
      <w:t>Treosulfan</w:t>
    </w:r>
    <w:proofErr w:type="spellEnd"/>
  </w:p>
  <w:p w14:paraId="1894F203" w14:textId="77777777" w:rsidR="00833347" w:rsidRPr="000E4B33" w:rsidRDefault="007F662B" w:rsidP="00833347">
    <w:pPr>
      <w:pStyle w:val="Fuzeile"/>
      <w:rPr>
        <w:rFonts w:ascii="Arial Narrow" w:hAnsi="Arial Narrow"/>
        <w:sz w:val="22"/>
        <w:szCs w:val="22"/>
      </w:rPr>
    </w:pPr>
    <w:hyperlink r:id="rId1" w:history="1">
      <w:r w:rsidR="00833347" w:rsidRPr="000E4B33">
        <w:rPr>
          <w:rStyle w:val="Hyperlink"/>
          <w:rFonts w:ascii="Arial Narrow" w:hAnsi="Arial Narrow"/>
          <w:sz w:val="22"/>
          <w:szCs w:val="22"/>
        </w:rPr>
        <w:t>Arbeitskreis DRG und Gesundheitsökonomie der Deutschen Gesellschaft für Hämatologie und medizinische Onkologie e.V.</w:t>
      </w:r>
    </w:hyperlink>
    <w:r w:rsidR="00833347" w:rsidRPr="000E4B33">
      <w:rPr>
        <w:rFonts w:ascii="Arial Narrow" w:hAnsi="Arial Narrow"/>
        <w:sz w:val="22"/>
        <w:szCs w:val="22"/>
      </w:rPr>
      <w:t xml:space="preserve"> </w:t>
    </w:r>
  </w:p>
  <w:p w14:paraId="25150FAB" w14:textId="77777777" w:rsidR="00833347" w:rsidRPr="000E4B33" w:rsidRDefault="007F662B" w:rsidP="00833347">
    <w:pPr>
      <w:pStyle w:val="Fuzeile"/>
      <w:rPr>
        <w:rFonts w:ascii="Arial Narrow" w:hAnsi="Arial Narrow"/>
        <w:sz w:val="22"/>
        <w:szCs w:val="22"/>
      </w:rPr>
    </w:pPr>
    <w:hyperlink r:id="rId2" w:history="1">
      <w:r w:rsidR="00833347" w:rsidRPr="000E4B33">
        <w:rPr>
          <w:rStyle w:val="Hyperlink"/>
          <w:rFonts w:ascii="Arial Narrow" w:hAnsi="Arial Narrow"/>
          <w:sz w:val="22"/>
          <w:szCs w:val="22"/>
        </w:rPr>
        <w:t>www.dgho.de</w:t>
      </w:r>
    </w:hyperlink>
  </w:p>
  <w:p w14:paraId="3406DDE7" w14:textId="772AF2BD" w:rsidR="00833347" w:rsidRPr="000E4B33" w:rsidRDefault="00833347" w:rsidP="00833347">
    <w:pPr>
      <w:pStyle w:val="Fuzeile"/>
      <w:rPr>
        <w:rFonts w:ascii="Arial Narrow" w:hAnsi="Arial Narrow"/>
        <w:sz w:val="22"/>
        <w:szCs w:val="22"/>
      </w:rPr>
    </w:pPr>
    <w:r w:rsidRPr="000E4B33">
      <w:rPr>
        <w:rFonts w:ascii="Arial Narrow" w:hAnsi="Arial Narrow"/>
        <w:sz w:val="22"/>
        <w:szCs w:val="22"/>
      </w:rPr>
      <w:t xml:space="preserve">Seite </w:t>
    </w:r>
    <w:r w:rsidRPr="000E4B33">
      <w:rPr>
        <w:rFonts w:ascii="Arial Narrow" w:hAnsi="Arial Narrow"/>
        <w:sz w:val="22"/>
        <w:szCs w:val="22"/>
      </w:rPr>
      <w:fldChar w:fldCharType="begin"/>
    </w:r>
    <w:r w:rsidRPr="000E4B33">
      <w:rPr>
        <w:rFonts w:ascii="Arial Narrow" w:hAnsi="Arial Narrow"/>
        <w:sz w:val="22"/>
        <w:szCs w:val="22"/>
      </w:rPr>
      <w:instrText xml:space="preserve"> PAGE </w:instrText>
    </w:r>
    <w:r w:rsidRPr="000E4B33">
      <w:rPr>
        <w:rFonts w:ascii="Arial Narrow" w:hAnsi="Arial Narrow"/>
        <w:sz w:val="22"/>
        <w:szCs w:val="22"/>
      </w:rPr>
      <w:fldChar w:fldCharType="separate"/>
    </w:r>
    <w:r w:rsidR="007F662B">
      <w:rPr>
        <w:rFonts w:ascii="Arial Narrow" w:hAnsi="Arial Narrow"/>
        <w:noProof/>
        <w:sz w:val="22"/>
        <w:szCs w:val="22"/>
      </w:rPr>
      <w:t>3</w:t>
    </w:r>
    <w:r w:rsidRPr="000E4B33">
      <w:rPr>
        <w:rFonts w:ascii="Arial Narrow" w:hAnsi="Arial Narrow"/>
        <w:sz w:val="22"/>
        <w:szCs w:val="22"/>
      </w:rPr>
      <w:fldChar w:fldCharType="end"/>
    </w:r>
    <w:r w:rsidRPr="000E4B33">
      <w:rPr>
        <w:rFonts w:ascii="Arial Narrow" w:hAnsi="Arial Narrow"/>
        <w:sz w:val="22"/>
        <w:szCs w:val="22"/>
      </w:rPr>
      <w:t xml:space="preserve"> von 3</w:t>
    </w:r>
  </w:p>
  <w:p w14:paraId="067BA50A" w14:textId="6F50B9D3" w:rsidR="00833347" w:rsidRPr="00867225" w:rsidRDefault="007F662B" w:rsidP="00833347">
    <w:pPr>
      <w:pStyle w:val="Fuzeile"/>
      <w:rPr>
        <w:rFonts w:ascii="Arial Narrow" w:hAnsi="Arial Narrow"/>
        <w:sz w:val="22"/>
        <w:szCs w:val="22"/>
        <w:lang w:val="en-US"/>
      </w:rPr>
    </w:pPr>
    <w:r>
      <w:rPr>
        <w:rFonts w:ascii="Arial Narrow" w:hAnsi="Arial Narrow"/>
        <w:sz w:val="22"/>
        <w:szCs w:val="22"/>
        <w:lang w:val="en-US"/>
      </w:rPr>
      <w:t>26-152</w:t>
    </w:r>
    <w:r w:rsidR="00833347" w:rsidRPr="00867225">
      <w:rPr>
        <w:rFonts w:ascii="Arial Narrow" w:hAnsi="Arial Narrow"/>
        <w:sz w:val="22"/>
        <w:szCs w:val="22"/>
        <w:lang w:val="en-US"/>
      </w:rPr>
      <w:t xml:space="preserve"> </w:t>
    </w:r>
    <w:proofErr w:type="spellStart"/>
    <w:r w:rsidR="00833347" w:rsidRPr="00867225">
      <w:rPr>
        <w:rFonts w:ascii="Arial Narrow" w:hAnsi="Arial Narrow"/>
        <w:sz w:val="22"/>
        <w:szCs w:val="22"/>
        <w:lang w:val="en-US"/>
      </w:rPr>
      <w:t>Treosu</w:t>
    </w:r>
    <w:r>
      <w:rPr>
        <w:rFonts w:ascii="Arial Narrow" w:hAnsi="Arial Narrow"/>
        <w:sz w:val="22"/>
        <w:szCs w:val="22"/>
        <w:lang w:val="en-US"/>
      </w:rPr>
      <w:t>lfan</w:t>
    </w:r>
    <w:proofErr w:type="spellEnd"/>
    <w:r>
      <w:rPr>
        <w:rFonts w:ascii="Arial Narrow" w:hAnsi="Arial Narrow"/>
        <w:sz w:val="22"/>
        <w:szCs w:val="22"/>
        <w:lang w:val="en-US"/>
      </w:rPr>
      <w:t xml:space="preserve"> NUB-</w:t>
    </w:r>
    <w:proofErr w:type="spellStart"/>
    <w:r>
      <w:rPr>
        <w:rFonts w:ascii="Arial Narrow" w:hAnsi="Arial Narrow"/>
        <w:sz w:val="22"/>
        <w:szCs w:val="22"/>
        <w:lang w:val="en-US"/>
      </w:rPr>
      <w:t>Anfrage</w:t>
    </w:r>
    <w:proofErr w:type="spellEnd"/>
    <w:r>
      <w:rPr>
        <w:rFonts w:ascii="Arial Narrow" w:hAnsi="Arial Narrow"/>
        <w:sz w:val="22"/>
        <w:szCs w:val="22"/>
        <w:lang w:val="en-US"/>
      </w:rPr>
      <w:t>-</w:t>
    </w:r>
    <w:proofErr w:type="spellStart"/>
    <w:r>
      <w:rPr>
        <w:rFonts w:ascii="Arial Narrow" w:hAnsi="Arial Narrow"/>
        <w:sz w:val="22"/>
        <w:szCs w:val="22"/>
        <w:lang w:val="en-US"/>
      </w:rPr>
      <w:t>DGHO_Stand</w:t>
    </w:r>
    <w:proofErr w:type="spellEnd"/>
    <w:r>
      <w:rPr>
        <w:rFonts w:ascii="Arial Narrow" w:hAnsi="Arial Narrow"/>
        <w:sz w:val="22"/>
        <w:szCs w:val="22"/>
        <w:lang w:val="en-US"/>
      </w:rPr>
      <w:t xml:space="preserve"> 2025-09-11</w:t>
    </w:r>
    <w:bookmarkStart w:id="0" w:name="_GoBack"/>
    <w:bookmarkEnd w:id="0"/>
    <w:r w:rsidR="00833347" w:rsidRPr="00867225">
      <w:rPr>
        <w:rFonts w:ascii="Arial Narrow" w:hAnsi="Arial Narrow"/>
        <w:sz w:val="22"/>
        <w:szCs w:val="22"/>
        <w:lang w:val="en-US"/>
      </w:rPr>
      <w:t xml:space="preserve"> final</w:t>
    </w:r>
  </w:p>
  <w:p w14:paraId="6E7C81DA" w14:textId="24D79CA8" w:rsidR="00F64982" w:rsidRPr="00867225" w:rsidRDefault="00F64982" w:rsidP="00833347">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D1520" w14:textId="77777777" w:rsidR="007F662B" w:rsidRDefault="007F66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740E9" w14:textId="77777777" w:rsidR="00DB15F8" w:rsidRDefault="00DB15F8">
      <w:r>
        <w:separator/>
      </w:r>
    </w:p>
  </w:footnote>
  <w:footnote w:type="continuationSeparator" w:id="0">
    <w:p w14:paraId="3041F6D8" w14:textId="77777777" w:rsidR="00DB15F8" w:rsidRDefault="00DB15F8">
      <w:r>
        <w:continuationSeparator/>
      </w:r>
    </w:p>
  </w:footnote>
  <w:footnote w:type="continuationNotice" w:id="1">
    <w:p w14:paraId="4D41B448" w14:textId="77777777" w:rsidR="00DB15F8" w:rsidRDefault="00DB15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3B51" w14:textId="77777777" w:rsidR="007F662B" w:rsidRDefault="007F66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11A9" w14:textId="5EC2DA4D" w:rsidR="006E1956" w:rsidRDefault="00F64982" w:rsidP="006E1956">
    <w:pPr>
      <w:pStyle w:val="Titel"/>
      <w:rPr>
        <w:sz w:val="48"/>
      </w:rPr>
    </w:pPr>
    <w:r w:rsidRPr="004C4F82">
      <w:rPr>
        <w:sz w:val="48"/>
      </w:rPr>
      <w:t>NUB Antrag 20</w:t>
    </w:r>
    <w:r>
      <w:rPr>
        <w:sz w:val="48"/>
      </w:rPr>
      <w:t>2</w:t>
    </w:r>
    <w:r w:rsidR="00867225">
      <w:rPr>
        <w:sz w:val="48"/>
      </w:rPr>
      <w:t>5</w:t>
    </w:r>
    <w:r w:rsidRPr="004C4F82">
      <w:rPr>
        <w:sz w:val="48"/>
      </w:rPr>
      <w:t>/20</w:t>
    </w:r>
    <w:r>
      <w:rPr>
        <w:sz w:val="48"/>
      </w:rPr>
      <w:t>2</w:t>
    </w:r>
    <w:r w:rsidR="00867225">
      <w:rPr>
        <w:sz w:val="48"/>
      </w:rPr>
      <w:t>6</w:t>
    </w:r>
    <w:r w:rsidR="006E1956" w:rsidRPr="006E1956">
      <w:rPr>
        <w:sz w:val="48"/>
      </w:rPr>
      <w:t xml:space="preserve"> </w:t>
    </w:r>
  </w:p>
  <w:p w14:paraId="53458799" w14:textId="69D7242F" w:rsidR="00F64982" w:rsidRPr="004C4F82" w:rsidRDefault="006E1956" w:rsidP="00596F9A">
    <w:pPr>
      <w:pStyle w:val="Titel"/>
      <w:rPr>
        <w:sz w:val="48"/>
      </w:rPr>
    </w:pPr>
    <w:proofErr w:type="spellStart"/>
    <w:r w:rsidRPr="00E877BD">
      <w:rPr>
        <w:sz w:val="48"/>
      </w:rPr>
      <w:t>Treosulfan</w:t>
    </w:r>
    <w:proofErr w:type="spellEnd"/>
    <w:r w:rsidR="00F64982" w:rsidRPr="004C4F82">
      <w:rPr>
        <w:sz w:val="48"/>
      </w:rPr>
      <w:t xml:space="preserve"> </w:t>
    </w:r>
  </w:p>
  <w:p w14:paraId="6A62D120" w14:textId="77777777" w:rsidR="00232E42" w:rsidRDefault="00232E4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C1495" w14:textId="77777777" w:rsidR="007F662B" w:rsidRDefault="007F66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07B3B"/>
    <w:rsid w:val="00015BCA"/>
    <w:rsid w:val="00024651"/>
    <w:rsid w:val="0004094A"/>
    <w:rsid w:val="00044597"/>
    <w:rsid w:val="00065A38"/>
    <w:rsid w:val="00072A33"/>
    <w:rsid w:val="000953D2"/>
    <w:rsid w:val="000957E6"/>
    <w:rsid w:val="000C5AD5"/>
    <w:rsid w:val="000C704A"/>
    <w:rsid w:val="000D615D"/>
    <w:rsid w:val="000E4B33"/>
    <w:rsid w:val="00104C97"/>
    <w:rsid w:val="00125008"/>
    <w:rsid w:val="001419B0"/>
    <w:rsid w:val="00156FE0"/>
    <w:rsid w:val="00174C6A"/>
    <w:rsid w:val="001774E7"/>
    <w:rsid w:val="001812EC"/>
    <w:rsid w:val="00193CD7"/>
    <w:rsid w:val="001A7AC7"/>
    <w:rsid w:val="001F4753"/>
    <w:rsid w:val="002005AF"/>
    <w:rsid w:val="00232E42"/>
    <w:rsid w:val="002333FF"/>
    <w:rsid w:val="00234FB1"/>
    <w:rsid w:val="0025330A"/>
    <w:rsid w:val="00256B7C"/>
    <w:rsid w:val="0028432D"/>
    <w:rsid w:val="00285AE4"/>
    <w:rsid w:val="002A15CE"/>
    <w:rsid w:val="002D7403"/>
    <w:rsid w:val="002E5E26"/>
    <w:rsid w:val="002E61E0"/>
    <w:rsid w:val="00305016"/>
    <w:rsid w:val="003479E5"/>
    <w:rsid w:val="0036178C"/>
    <w:rsid w:val="0036325A"/>
    <w:rsid w:val="00382EC9"/>
    <w:rsid w:val="00383414"/>
    <w:rsid w:val="003B0DD2"/>
    <w:rsid w:val="003B2E05"/>
    <w:rsid w:val="003D2806"/>
    <w:rsid w:val="003F2692"/>
    <w:rsid w:val="0040610F"/>
    <w:rsid w:val="0041156E"/>
    <w:rsid w:val="00435583"/>
    <w:rsid w:val="00454847"/>
    <w:rsid w:val="004642E2"/>
    <w:rsid w:val="00467246"/>
    <w:rsid w:val="00474EA0"/>
    <w:rsid w:val="00492AB4"/>
    <w:rsid w:val="00494C0F"/>
    <w:rsid w:val="004B3438"/>
    <w:rsid w:val="004B624B"/>
    <w:rsid w:val="004B6C59"/>
    <w:rsid w:val="004C4F82"/>
    <w:rsid w:val="004E1D02"/>
    <w:rsid w:val="00504FB4"/>
    <w:rsid w:val="0050526A"/>
    <w:rsid w:val="005125E9"/>
    <w:rsid w:val="00541B64"/>
    <w:rsid w:val="005524BC"/>
    <w:rsid w:val="005530A6"/>
    <w:rsid w:val="005638EB"/>
    <w:rsid w:val="0057000B"/>
    <w:rsid w:val="0057537C"/>
    <w:rsid w:val="005776B2"/>
    <w:rsid w:val="0058217A"/>
    <w:rsid w:val="00596AE0"/>
    <w:rsid w:val="00596F9A"/>
    <w:rsid w:val="005F29C6"/>
    <w:rsid w:val="005F4D2E"/>
    <w:rsid w:val="00612463"/>
    <w:rsid w:val="00620855"/>
    <w:rsid w:val="006354B6"/>
    <w:rsid w:val="006451B6"/>
    <w:rsid w:val="006549F4"/>
    <w:rsid w:val="00664E69"/>
    <w:rsid w:val="00671707"/>
    <w:rsid w:val="00681EC4"/>
    <w:rsid w:val="006C656D"/>
    <w:rsid w:val="006E1956"/>
    <w:rsid w:val="006F7F69"/>
    <w:rsid w:val="00741086"/>
    <w:rsid w:val="007477A3"/>
    <w:rsid w:val="007600D1"/>
    <w:rsid w:val="0078272D"/>
    <w:rsid w:val="007937BB"/>
    <w:rsid w:val="007A314E"/>
    <w:rsid w:val="007A6F09"/>
    <w:rsid w:val="007D4380"/>
    <w:rsid w:val="007F0381"/>
    <w:rsid w:val="007F255B"/>
    <w:rsid w:val="007F662B"/>
    <w:rsid w:val="00802EF7"/>
    <w:rsid w:val="0080511D"/>
    <w:rsid w:val="00807564"/>
    <w:rsid w:val="00816924"/>
    <w:rsid w:val="00833347"/>
    <w:rsid w:val="00843507"/>
    <w:rsid w:val="00850D44"/>
    <w:rsid w:val="00867225"/>
    <w:rsid w:val="00890BC2"/>
    <w:rsid w:val="008B38C2"/>
    <w:rsid w:val="008B4504"/>
    <w:rsid w:val="008B4EAB"/>
    <w:rsid w:val="008B7669"/>
    <w:rsid w:val="008C1686"/>
    <w:rsid w:val="008D12DD"/>
    <w:rsid w:val="008E6675"/>
    <w:rsid w:val="00900692"/>
    <w:rsid w:val="00900E00"/>
    <w:rsid w:val="00925542"/>
    <w:rsid w:val="009513D9"/>
    <w:rsid w:val="009545AF"/>
    <w:rsid w:val="00983554"/>
    <w:rsid w:val="009A0253"/>
    <w:rsid w:val="009B1235"/>
    <w:rsid w:val="009B1C7E"/>
    <w:rsid w:val="009C0B84"/>
    <w:rsid w:val="009C144E"/>
    <w:rsid w:val="009E60A3"/>
    <w:rsid w:val="00A00CCB"/>
    <w:rsid w:val="00A100DC"/>
    <w:rsid w:val="00A1516F"/>
    <w:rsid w:val="00A2016B"/>
    <w:rsid w:val="00A21E9E"/>
    <w:rsid w:val="00A345A9"/>
    <w:rsid w:val="00A43812"/>
    <w:rsid w:val="00A530BE"/>
    <w:rsid w:val="00A93AAD"/>
    <w:rsid w:val="00AA6B4F"/>
    <w:rsid w:val="00AB10BF"/>
    <w:rsid w:val="00AE4C49"/>
    <w:rsid w:val="00B03A61"/>
    <w:rsid w:val="00B56DF1"/>
    <w:rsid w:val="00B574E9"/>
    <w:rsid w:val="00B64027"/>
    <w:rsid w:val="00B6570D"/>
    <w:rsid w:val="00B773B8"/>
    <w:rsid w:val="00BA6044"/>
    <w:rsid w:val="00BB4A54"/>
    <w:rsid w:val="00BC3D19"/>
    <w:rsid w:val="00BC4042"/>
    <w:rsid w:val="00BE3979"/>
    <w:rsid w:val="00BF11AE"/>
    <w:rsid w:val="00C048B9"/>
    <w:rsid w:val="00C112A6"/>
    <w:rsid w:val="00C11458"/>
    <w:rsid w:val="00C21654"/>
    <w:rsid w:val="00C27CFD"/>
    <w:rsid w:val="00C35BFE"/>
    <w:rsid w:val="00C501ED"/>
    <w:rsid w:val="00C676EE"/>
    <w:rsid w:val="00CB3CA3"/>
    <w:rsid w:val="00CB7E53"/>
    <w:rsid w:val="00CC7E5F"/>
    <w:rsid w:val="00CD2365"/>
    <w:rsid w:val="00CE69F3"/>
    <w:rsid w:val="00CF56C3"/>
    <w:rsid w:val="00CF5ECC"/>
    <w:rsid w:val="00D14350"/>
    <w:rsid w:val="00D216BD"/>
    <w:rsid w:val="00D21A79"/>
    <w:rsid w:val="00D41422"/>
    <w:rsid w:val="00D67D98"/>
    <w:rsid w:val="00D87B96"/>
    <w:rsid w:val="00D9586E"/>
    <w:rsid w:val="00DB14F4"/>
    <w:rsid w:val="00DB15F8"/>
    <w:rsid w:val="00DB4789"/>
    <w:rsid w:val="00DC0B0F"/>
    <w:rsid w:val="00DC6CBD"/>
    <w:rsid w:val="00DE0DAA"/>
    <w:rsid w:val="00DF01F8"/>
    <w:rsid w:val="00E24E3B"/>
    <w:rsid w:val="00E53F75"/>
    <w:rsid w:val="00E86725"/>
    <w:rsid w:val="00E9243F"/>
    <w:rsid w:val="00E92C57"/>
    <w:rsid w:val="00EC0987"/>
    <w:rsid w:val="00ED4386"/>
    <w:rsid w:val="00ED79AA"/>
    <w:rsid w:val="00EE0D0B"/>
    <w:rsid w:val="00EE1581"/>
    <w:rsid w:val="00EE5875"/>
    <w:rsid w:val="00F000AA"/>
    <w:rsid w:val="00F233AA"/>
    <w:rsid w:val="00F375C6"/>
    <w:rsid w:val="00F64982"/>
    <w:rsid w:val="00F91167"/>
    <w:rsid w:val="00FA6FC5"/>
    <w:rsid w:val="00FB0559"/>
    <w:rsid w:val="00FB46A5"/>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BC82A3B1-F1BC-486B-8491-208EA0C1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Kommentarzeichen">
    <w:name w:val="annotation reference"/>
    <w:basedOn w:val="Absatz-Standardschriftart"/>
    <w:uiPriority w:val="99"/>
    <w:semiHidden/>
    <w:unhideWhenUsed/>
    <w:rsid w:val="00DC0B0F"/>
    <w:rPr>
      <w:sz w:val="16"/>
      <w:szCs w:val="16"/>
    </w:rPr>
  </w:style>
  <w:style w:type="paragraph" w:styleId="Kommentartext">
    <w:name w:val="annotation text"/>
    <w:basedOn w:val="Standard"/>
    <w:link w:val="KommentartextZchn"/>
    <w:uiPriority w:val="99"/>
    <w:unhideWhenUsed/>
    <w:rsid w:val="00DC0B0F"/>
    <w:rPr>
      <w:sz w:val="20"/>
      <w:szCs w:val="20"/>
    </w:rPr>
  </w:style>
  <w:style w:type="character" w:customStyle="1" w:styleId="KommentartextZchn">
    <w:name w:val="Kommentartext Zchn"/>
    <w:basedOn w:val="Absatz-Standardschriftart"/>
    <w:link w:val="Kommentartext"/>
    <w:uiPriority w:val="99"/>
    <w:rsid w:val="00DC0B0F"/>
    <w:rPr>
      <w:sz w:val="20"/>
      <w:szCs w:val="20"/>
    </w:rPr>
  </w:style>
  <w:style w:type="paragraph" w:styleId="Kommentarthema">
    <w:name w:val="annotation subject"/>
    <w:basedOn w:val="Kommentartext"/>
    <w:next w:val="Kommentartext"/>
    <w:link w:val="KommentarthemaZchn"/>
    <w:uiPriority w:val="99"/>
    <w:semiHidden/>
    <w:unhideWhenUsed/>
    <w:rsid w:val="00DC0B0F"/>
    <w:rPr>
      <w:b/>
      <w:bCs/>
    </w:rPr>
  </w:style>
  <w:style w:type="character" w:customStyle="1" w:styleId="KommentarthemaZchn">
    <w:name w:val="Kommentarthema Zchn"/>
    <w:basedOn w:val="KommentartextZchn"/>
    <w:link w:val="Kommentarthema"/>
    <w:uiPriority w:val="99"/>
    <w:semiHidden/>
    <w:rsid w:val="00DC0B0F"/>
    <w:rPr>
      <w:b/>
      <w:bCs/>
      <w:sz w:val="20"/>
      <w:szCs w:val="20"/>
    </w:rPr>
  </w:style>
  <w:style w:type="paragraph" w:customStyle="1" w:styleId="Default">
    <w:name w:val="Default"/>
    <w:rsid w:val="007F662B"/>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125853209">
      <w:bodyDiv w:val="1"/>
      <w:marLeft w:val="0"/>
      <w:marRight w:val="0"/>
      <w:marTop w:val="0"/>
      <w:marBottom w:val="0"/>
      <w:divBdr>
        <w:top w:val="none" w:sz="0" w:space="0" w:color="auto"/>
        <w:left w:val="none" w:sz="0" w:space="0" w:color="auto"/>
        <w:bottom w:val="none" w:sz="0" w:space="0" w:color="auto"/>
        <w:right w:val="none" w:sz="0" w:space="0" w:color="auto"/>
      </w:divBdr>
      <w:divsChild>
        <w:div w:id="749546577">
          <w:marLeft w:val="0"/>
          <w:marRight w:val="0"/>
          <w:marTop w:val="0"/>
          <w:marBottom w:val="0"/>
          <w:divBdr>
            <w:top w:val="none" w:sz="0" w:space="0" w:color="auto"/>
            <w:left w:val="none" w:sz="0" w:space="0" w:color="auto"/>
            <w:bottom w:val="none" w:sz="0" w:space="0" w:color="auto"/>
            <w:right w:val="none" w:sz="0" w:space="0" w:color="auto"/>
          </w:divBdr>
          <w:divsChild>
            <w:div w:id="1840149526">
              <w:marLeft w:val="0"/>
              <w:marRight w:val="0"/>
              <w:marTop w:val="0"/>
              <w:marBottom w:val="0"/>
              <w:divBdr>
                <w:top w:val="none" w:sz="0" w:space="0" w:color="auto"/>
                <w:left w:val="none" w:sz="0" w:space="0" w:color="auto"/>
                <w:bottom w:val="none" w:sz="0" w:space="0" w:color="auto"/>
                <w:right w:val="none" w:sz="0" w:space="0" w:color="auto"/>
              </w:divBdr>
              <w:divsChild>
                <w:div w:id="10843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3912">
      <w:bodyDiv w:val="1"/>
      <w:marLeft w:val="0"/>
      <w:marRight w:val="0"/>
      <w:marTop w:val="0"/>
      <w:marBottom w:val="0"/>
      <w:divBdr>
        <w:top w:val="none" w:sz="0" w:space="0" w:color="auto"/>
        <w:left w:val="none" w:sz="0" w:space="0" w:color="auto"/>
        <w:bottom w:val="none" w:sz="0" w:space="0" w:color="auto"/>
        <w:right w:val="none" w:sz="0" w:space="0" w:color="auto"/>
      </w:divBdr>
      <w:divsChild>
        <w:div w:id="309678982">
          <w:marLeft w:val="0"/>
          <w:marRight w:val="0"/>
          <w:marTop w:val="0"/>
          <w:marBottom w:val="0"/>
          <w:divBdr>
            <w:top w:val="none" w:sz="0" w:space="0" w:color="auto"/>
            <w:left w:val="none" w:sz="0" w:space="0" w:color="auto"/>
            <w:bottom w:val="none" w:sz="0" w:space="0" w:color="auto"/>
            <w:right w:val="none" w:sz="0" w:space="0" w:color="auto"/>
          </w:divBdr>
          <w:divsChild>
            <w:div w:id="352876556">
              <w:marLeft w:val="0"/>
              <w:marRight w:val="0"/>
              <w:marTop w:val="0"/>
              <w:marBottom w:val="0"/>
              <w:divBdr>
                <w:top w:val="none" w:sz="0" w:space="0" w:color="auto"/>
                <w:left w:val="none" w:sz="0" w:space="0" w:color="auto"/>
                <w:bottom w:val="none" w:sz="0" w:space="0" w:color="auto"/>
                <w:right w:val="none" w:sz="0" w:space="0" w:color="auto"/>
              </w:divBdr>
              <w:divsChild>
                <w:div w:id="2129469720">
                  <w:marLeft w:val="0"/>
                  <w:marRight w:val="0"/>
                  <w:marTop w:val="0"/>
                  <w:marBottom w:val="0"/>
                  <w:divBdr>
                    <w:top w:val="none" w:sz="0" w:space="0" w:color="auto"/>
                    <w:left w:val="none" w:sz="0" w:space="0" w:color="auto"/>
                    <w:bottom w:val="none" w:sz="0" w:space="0" w:color="auto"/>
                    <w:right w:val="none" w:sz="0" w:space="0" w:color="auto"/>
                  </w:divBdr>
                  <w:divsChild>
                    <w:div w:id="14190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233F646A-0AF2-485B-8DFA-57ED8E007C99}">
  <ds:schemaRefs>
    <ds:schemaRef ds:uri="http://schemas.openxmlformats.org/officeDocument/2006/bibliography"/>
  </ds:schemaRefs>
</ds:datastoreItem>
</file>

<file path=customXml/itemProps2.xml><?xml version="1.0" encoding="utf-8"?>
<ds:datastoreItem xmlns:ds="http://schemas.openxmlformats.org/officeDocument/2006/customXml" ds:itemID="{DA3E7055-5857-453C-A17C-EB4DD00D2029}"/>
</file>

<file path=customXml/itemProps3.xml><?xml version="1.0" encoding="utf-8"?>
<ds:datastoreItem xmlns:ds="http://schemas.openxmlformats.org/officeDocument/2006/customXml" ds:itemID="{D911CDF6-07CE-4621-89EC-29AAE1B7A334}"/>
</file>

<file path=customXml/itemProps4.xml><?xml version="1.0" encoding="utf-8"?>
<ds:datastoreItem xmlns:ds="http://schemas.openxmlformats.org/officeDocument/2006/customXml" ds:itemID="{97EE1996-55D7-444F-A98E-776A345DD07C}"/>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5786</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2</cp:revision>
  <cp:lastPrinted>2012-10-09T15:17:00Z</cp:lastPrinted>
  <dcterms:created xsi:type="dcterms:W3CDTF">2025-10-11T14:27:00Z</dcterms:created>
  <dcterms:modified xsi:type="dcterms:W3CDTF">2025-10-11T14:27:00Z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