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56E5EDCE" w:rsidR="008E6675" w:rsidRPr="005638EB" w:rsidRDefault="008E6675" w:rsidP="007B78D6">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7B78D6">
              <w:rPr>
                <w:rFonts w:ascii="Arial Narrow" w:hAnsi="Arial Narrow"/>
                <w:sz w:val="22"/>
              </w:rPr>
              <w:t xml:space="preserve">vorformuliert </w:t>
            </w:r>
            <w:r w:rsidR="00270D8D">
              <w:rPr>
                <w:rFonts w:ascii="Arial Narrow" w:hAnsi="Arial Narrow"/>
                <w:sz w:val="22"/>
              </w:rPr>
              <w:t xml:space="preserve">und </w:t>
            </w:r>
            <w:r w:rsidR="007B78D6">
              <w:rPr>
                <w:rFonts w:ascii="Arial Narrow" w:hAnsi="Arial Narrow"/>
                <w:sz w:val="22"/>
              </w:rPr>
              <w:t xml:space="preserve">wird durch </w:t>
            </w:r>
            <w:r w:rsidR="00CA7886">
              <w:rPr>
                <w:rFonts w:ascii="Arial Narrow" w:hAnsi="Arial Narrow"/>
                <w:sz w:val="22"/>
              </w:rPr>
              <w:t>d</w:t>
            </w:r>
            <w:r w:rsidR="00270D8D">
              <w:rPr>
                <w:rFonts w:ascii="Arial Narrow" w:hAnsi="Arial Narrow"/>
                <w:sz w:val="22"/>
              </w:rPr>
              <w:t>i</w:t>
            </w:r>
            <w:r w:rsidR="00CA7886">
              <w:rPr>
                <w:rFonts w:ascii="Arial Narrow" w:hAnsi="Arial Narrow"/>
                <w:sz w:val="22"/>
              </w:rPr>
              <w:t>e</w:t>
            </w:r>
            <w:r w:rsidR="00270D8D">
              <w:rPr>
                <w:rFonts w:ascii="Arial Narrow" w:hAnsi="Arial Narrow"/>
                <w:sz w:val="22"/>
              </w:rPr>
              <w:t xml:space="preserve"> </w:t>
            </w:r>
            <w:r w:rsidR="00CA7886">
              <w:rPr>
                <w:rFonts w:ascii="Arial Narrow" w:hAnsi="Arial Narrow"/>
                <w:sz w:val="22"/>
              </w:rPr>
              <w:t xml:space="preserve">Gesellschaft für Pädiatrische Onkologie </w:t>
            </w:r>
            <w:r w:rsidR="00112F99">
              <w:rPr>
                <w:rFonts w:ascii="Arial Narrow" w:hAnsi="Arial Narrow"/>
                <w:sz w:val="22"/>
              </w:rPr>
              <w:t xml:space="preserve">und Hämatologie </w:t>
            </w:r>
            <w:r w:rsidR="00CA7886">
              <w:rPr>
                <w:rFonts w:ascii="Arial Narrow" w:hAnsi="Arial Narrow"/>
                <w:sz w:val="22"/>
              </w:rPr>
              <w:t xml:space="preserve">e.V. </w:t>
            </w:r>
            <w:r w:rsidR="007B78D6">
              <w:rPr>
                <w:rFonts w:ascii="Arial Narrow" w:hAnsi="Arial Narrow"/>
                <w:sz w:val="22"/>
              </w:rPr>
              <w:t>unterstützt.</w:t>
            </w:r>
            <w:r w:rsidRPr="005638EB">
              <w:rPr>
                <w:rFonts w:ascii="Arial Narrow" w:hAnsi="Arial Narrow"/>
                <w:sz w:val="22"/>
              </w:rPr>
              <w:t xml:space="preserve">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444C5FB5" w:rsidR="008E6675" w:rsidRPr="009D7CA8" w:rsidRDefault="00B86C0C" w:rsidP="005638EB">
            <w:pPr>
              <w:rPr>
                <w:rFonts w:ascii="Arial Narrow" w:hAnsi="Arial Narrow"/>
                <w:color w:val="000000" w:themeColor="text1"/>
                <w:sz w:val="22"/>
              </w:rPr>
            </w:pPr>
            <w:proofErr w:type="spellStart"/>
            <w:r>
              <w:rPr>
                <w:rFonts w:ascii="Arial Narrow" w:hAnsi="Arial Narrow" w:cs="Arial"/>
                <w:sz w:val="22"/>
                <w:szCs w:val="22"/>
              </w:rPr>
              <w:t>Ru</w:t>
            </w:r>
            <w:r w:rsidRPr="00B86C0C">
              <w:rPr>
                <w:rFonts w:ascii="Arial Narrow" w:hAnsi="Arial Narrow" w:cs="Arial"/>
                <w:sz w:val="22"/>
                <w:szCs w:val="22"/>
              </w:rPr>
              <w:t>xolitinib</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42E01D8C" w:rsidR="008E6675" w:rsidRPr="005638EB" w:rsidRDefault="00B86C0C" w:rsidP="005638EB">
            <w:pPr>
              <w:rPr>
                <w:rFonts w:ascii="Arial Narrow" w:hAnsi="Arial Narrow"/>
              </w:rPr>
            </w:pPr>
            <w:proofErr w:type="spellStart"/>
            <w:r w:rsidRPr="00B86C0C">
              <w:rPr>
                <w:rFonts w:ascii="Arial Narrow" w:hAnsi="Arial Narrow" w:cs="Arial"/>
                <w:sz w:val="22"/>
                <w:szCs w:val="22"/>
              </w:rPr>
              <w:t>Jakavi</w:t>
            </w:r>
            <w:proofErr w:type="spellEnd"/>
            <w:r w:rsidRPr="00B86C0C">
              <w:rPr>
                <w:rFonts w:ascii="Arial Narrow" w:hAnsi="Arial Narrow" w:cs="Arial"/>
                <w:sz w:val="22"/>
                <w:szCs w:val="22"/>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62697928"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2853FF">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C9CC4C8" w:rsidR="00492AB4" w:rsidRPr="009D7CA8" w:rsidRDefault="007B78D6" w:rsidP="009D7CA8">
            <w:pPr>
              <w:rPr>
                <w:rFonts w:ascii="Arial Narrow" w:hAnsi="Arial Narrow"/>
                <w:sz w:val="22"/>
                <w:highlight w:val="yellow"/>
              </w:rPr>
            </w:pPr>
            <w:r w:rsidRPr="007B78D6">
              <w:rPr>
                <w:rFonts w:ascii="Arial Narrow" w:hAnsi="Arial Narrow"/>
                <w:sz w:val="22"/>
              </w:rPr>
              <w:t>[</w:t>
            </w:r>
            <w:r w:rsidRPr="007B78D6">
              <w:rPr>
                <w:rFonts w:ascii="Arial Narrow" w:hAnsi="Arial Narrow"/>
                <w:sz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79622A1C" w14:textId="2D9CA363" w:rsidR="004B71EB" w:rsidRDefault="004B71EB" w:rsidP="004B71EB">
            <w:pPr>
              <w:pStyle w:val="Default"/>
              <w:rPr>
                <w:rFonts w:ascii="Arial Narrow" w:hAnsi="Arial Narrow"/>
                <w:b/>
                <w:bCs/>
                <w:sz w:val="22"/>
                <w:szCs w:val="22"/>
                <w:lang w:val="de-DE"/>
              </w:rPr>
            </w:pPr>
            <w:r w:rsidRPr="0066465C">
              <w:rPr>
                <w:rFonts w:ascii="Arial Narrow" w:hAnsi="Arial Narrow"/>
                <w:b/>
                <w:bCs/>
                <w:sz w:val="22"/>
                <w:szCs w:val="22"/>
                <w:lang w:val="de-DE"/>
              </w:rPr>
              <w:t>Wirk</w:t>
            </w:r>
            <w:r w:rsidR="007D4B30">
              <w:rPr>
                <w:rFonts w:ascii="Arial Narrow" w:hAnsi="Arial Narrow"/>
                <w:b/>
                <w:bCs/>
                <w:sz w:val="22"/>
                <w:szCs w:val="22"/>
                <w:lang w:val="de-DE"/>
              </w:rPr>
              <w:t>weise</w:t>
            </w:r>
          </w:p>
          <w:p w14:paraId="4BDB04C7" w14:textId="77777777" w:rsidR="00B86C0C" w:rsidRPr="00B86C0C" w:rsidRDefault="00B86C0C" w:rsidP="00B86C0C">
            <w:pPr>
              <w:pStyle w:val="Default"/>
              <w:rPr>
                <w:rFonts w:ascii="Arial Narrow" w:hAnsi="Arial Narrow"/>
                <w:sz w:val="22"/>
                <w:szCs w:val="22"/>
                <w:lang w:val="de-DE"/>
              </w:rPr>
            </w:pPr>
            <w:proofErr w:type="spellStart"/>
            <w:r w:rsidRPr="00B86C0C">
              <w:rPr>
                <w:rFonts w:ascii="Arial Narrow" w:hAnsi="Arial Narrow"/>
                <w:sz w:val="22"/>
                <w:szCs w:val="22"/>
                <w:lang w:val="de-DE"/>
              </w:rPr>
              <w:t>Ruxolitinib</w:t>
            </w:r>
            <w:proofErr w:type="spellEnd"/>
            <w:r w:rsidRPr="00B86C0C">
              <w:rPr>
                <w:rFonts w:ascii="Arial Narrow" w:hAnsi="Arial Narrow"/>
                <w:sz w:val="22"/>
                <w:szCs w:val="22"/>
                <w:lang w:val="de-DE"/>
              </w:rPr>
              <w:t xml:space="preserve"> ist ein selektiver Hemmer der Janus-assoziierten </w:t>
            </w:r>
            <w:proofErr w:type="spellStart"/>
            <w:r w:rsidRPr="00B86C0C">
              <w:rPr>
                <w:rFonts w:ascii="Arial Narrow" w:hAnsi="Arial Narrow"/>
                <w:sz w:val="22"/>
                <w:szCs w:val="22"/>
                <w:lang w:val="de-DE"/>
              </w:rPr>
              <w:t>Kinasen</w:t>
            </w:r>
            <w:proofErr w:type="spellEnd"/>
            <w:r w:rsidRPr="00B86C0C">
              <w:rPr>
                <w:rFonts w:ascii="Arial Narrow" w:hAnsi="Arial Narrow"/>
                <w:sz w:val="22"/>
                <w:szCs w:val="22"/>
                <w:lang w:val="de-DE"/>
              </w:rPr>
              <w:t xml:space="preserve"> (JAKs) JAK1 und JAK2.</w:t>
            </w:r>
          </w:p>
          <w:p w14:paraId="2C532C6C" w14:textId="77777777" w:rsidR="00B86C0C" w:rsidRPr="00B86C0C" w:rsidRDefault="00B86C0C" w:rsidP="00B86C0C">
            <w:pPr>
              <w:pStyle w:val="Default"/>
              <w:rPr>
                <w:rFonts w:ascii="Arial Narrow" w:hAnsi="Arial Narrow"/>
                <w:sz w:val="22"/>
                <w:szCs w:val="22"/>
                <w:lang w:val="de-DE"/>
              </w:rPr>
            </w:pPr>
            <w:r w:rsidRPr="00B86C0C">
              <w:rPr>
                <w:rFonts w:ascii="Arial Narrow" w:hAnsi="Arial Narrow"/>
                <w:sz w:val="22"/>
                <w:szCs w:val="22"/>
                <w:lang w:val="de-DE"/>
              </w:rPr>
              <w:t xml:space="preserve">Die </w:t>
            </w:r>
            <w:proofErr w:type="spellStart"/>
            <w:r w:rsidRPr="00B86C0C">
              <w:rPr>
                <w:rFonts w:ascii="Arial Narrow" w:hAnsi="Arial Narrow"/>
                <w:sz w:val="22"/>
                <w:szCs w:val="22"/>
                <w:lang w:val="de-DE"/>
              </w:rPr>
              <w:t>Myelofibrose</w:t>
            </w:r>
            <w:proofErr w:type="spellEnd"/>
            <w:r w:rsidRPr="00B86C0C">
              <w:rPr>
                <w:rFonts w:ascii="Arial Narrow" w:hAnsi="Arial Narrow"/>
                <w:sz w:val="22"/>
                <w:szCs w:val="22"/>
                <w:lang w:val="de-DE"/>
              </w:rPr>
              <w:t xml:space="preserve"> und die </w:t>
            </w:r>
            <w:proofErr w:type="spellStart"/>
            <w:r w:rsidRPr="00B86C0C">
              <w:rPr>
                <w:rFonts w:ascii="Arial Narrow" w:hAnsi="Arial Narrow"/>
                <w:sz w:val="22"/>
                <w:szCs w:val="22"/>
                <w:lang w:val="de-DE"/>
              </w:rPr>
              <w:t>Poylcythaemia</w:t>
            </w:r>
            <w:proofErr w:type="spellEnd"/>
            <w:r w:rsidRPr="00B86C0C">
              <w:rPr>
                <w:rFonts w:ascii="Arial Narrow" w:hAnsi="Arial Narrow"/>
                <w:sz w:val="22"/>
                <w:szCs w:val="22"/>
                <w:lang w:val="de-DE"/>
              </w:rPr>
              <w:t xml:space="preserve"> </w:t>
            </w:r>
            <w:proofErr w:type="spellStart"/>
            <w:r w:rsidRPr="00B86C0C">
              <w:rPr>
                <w:rFonts w:ascii="Arial Narrow" w:hAnsi="Arial Narrow"/>
                <w:sz w:val="22"/>
                <w:szCs w:val="22"/>
                <w:lang w:val="de-DE"/>
              </w:rPr>
              <w:t>vera</w:t>
            </w:r>
            <w:proofErr w:type="spellEnd"/>
            <w:r w:rsidRPr="00B86C0C">
              <w:rPr>
                <w:rFonts w:ascii="Arial Narrow" w:hAnsi="Arial Narrow"/>
                <w:sz w:val="22"/>
                <w:szCs w:val="22"/>
                <w:lang w:val="de-DE"/>
              </w:rPr>
              <w:t xml:space="preserve"> sind </w:t>
            </w:r>
            <w:proofErr w:type="spellStart"/>
            <w:r w:rsidRPr="00B86C0C">
              <w:rPr>
                <w:rFonts w:ascii="Arial Narrow" w:hAnsi="Arial Narrow"/>
                <w:sz w:val="22"/>
                <w:szCs w:val="22"/>
                <w:lang w:val="de-DE"/>
              </w:rPr>
              <w:t>myeloproliferative</w:t>
            </w:r>
            <w:proofErr w:type="spellEnd"/>
            <w:r w:rsidRPr="00B86C0C">
              <w:rPr>
                <w:rFonts w:ascii="Arial Narrow" w:hAnsi="Arial Narrow"/>
                <w:sz w:val="22"/>
                <w:szCs w:val="22"/>
                <w:lang w:val="de-DE"/>
              </w:rPr>
              <w:t xml:space="preserve"> </w:t>
            </w:r>
            <w:proofErr w:type="spellStart"/>
            <w:r w:rsidRPr="00B86C0C">
              <w:rPr>
                <w:rFonts w:ascii="Arial Narrow" w:hAnsi="Arial Narrow"/>
                <w:sz w:val="22"/>
                <w:szCs w:val="22"/>
                <w:lang w:val="de-DE"/>
              </w:rPr>
              <w:t>Neoplasien</w:t>
            </w:r>
            <w:proofErr w:type="spellEnd"/>
            <w:r w:rsidRPr="00B86C0C">
              <w:rPr>
                <w:rFonts w:ascii="Arial Narrow" w:hAnsi="Arial Narrow"/>
                <w:sz w:val="22"/>
                <w:szCs w:val="22"/>
                <w:lang w:val="de-DE"/>
              </w:rPr>
              <w:t xml:space="preserve">, die mit einer Dysregulation der </w:t>
            </w:r>
          </w:p>
          <w:p w14:paraId="089A19DE" w14:textId="1C3CCC66" w:rsidR="005F4FCF" w:rsidRPr="00B86C0C" w:rsidRDefault="00B86C0C" w:rsidP="00B86C0C">
            <w:pPr>
              <w:pStyle w:val="Default"/>
              <w:rPr>
                <w:rFonts w:ascii="Arial Narrow" w:hAnsi="Arial Narrow"/>
                <w:sz w:val="22"/>
                <w:szCs w:val="22"/>
                <w:lang w:val="de-DE"/>
              </w:rPr>
            </w:pPr>
            <w:r w:rsidRPr="00B86C0C">
              <w:rPr>
                <w:rFonts w:ascii="Arial Narrow" w:hAnsi="Arial Narrow"/>
                <w:sz w:val="22"/>
                <w:szCs w:val="22"/>
                <w:lang w:val="de-DE"/>
              </w:rPr>
              <w:t xml:space="preserve">JAK1- und JAK2-Signalwege in Verbindung steht. Es wird angenommen, dass zu den Ursachen der Dysregulation unter anderem hohe Spiegel zirkulierender </w:t>
            </w:r>
            <w:proofErr w:type="spellStart"/>
            <w:r w:rsidRPr="00B86C0C">
              <w:rPr>
                <w:rFonts w:ascii="Arial Narrow" w:hAnsi="Arial Narrow"/>
                <w:sz w:val="22"/>
                <w:szCs w:val="22"/>
                <w:lang w:val="de-DE"/>
              </w:rPr>
              <w:t>Zytokine</w:t>
            </w:r>
            <w:proofErr w:type="spellEnd"/>
            <w:r w:rsidRPr="00B86C0C">
              <w:rPr>
                <w:rFonts w:ascii="Arial Narrow" w:hAnsi="Arial Narrow"/>
                <w:sz w:val="22"/>
                <w:szCs w:val="22"/>
                <w:lang w:val="de-DE"/>
              </w:rPr>
              <w:t xml:space="preserve">, die den JAK-STAT-Signalweg aktivieren, </w:t>
            </w:r>
            <w:proofErr w:type="spellStart"/>
            <w:r w:rsidRPr="00B86C0C">
              <w:rPr>
                <w:rFonts w:ascii="Arial Narrow" w:hAnsi="Arial Narrow"/>
                <w:sz w:val="22"/>
                <w:szCs w:val="22"/>
                <w:lang w:val="de-DE"/>
              </w:rPr>
              <w:t>Gain</w:t>
            </w:r>
            <w:proofErr w:type="spellEnd"/>
            <w:r w:rsidRPr="00B86C0C">
              <w:rPr>
                <w:rFonts w:ascii="Arial Narrow" w:hAnsi="Arial Narrow"/>
                <w:sz w:val="22"/>
                <w:szCs w:val="22"/>
                <w:lang w:val="de-DE"/>
              </w:rPr>
              <w:t>-of-</w:t>
            </w:r>
            <w:proofErr w:type="spellStart"/>
            <w:r w:rsidRPr="00B86C0C">
              <w:rPr>
                <w:rFonts w:ascii="Arial Narrow" w:hAnsi="Arial Narrow"/>
                <w:sz w:val="22"/>
                <w:szCs w:val="22"/>
                <w:lang w:val="de-DE"/>
              </w:rPr>
              <w:t>Function</w:t>
            </w:r>
            <w:proofErr w:type="spellEnd"/>
            <w:r w:rsidR="00ED3724">
              <w:rPr>
                <w:rFonts w:ascii="Arial Narrow" w:hAnsi="Arial Narrow"/>
                <w:sz w:val="22"/>
                <w:szCs w:val="22"/>
                <w:lang w:val="de-DE"/>
              </w:rPr>
              <w:t>-</w:t>
            </w:r>
            <w:r w:rsidRPr="00B86C0C">
              <w:rPr>
                <w:rFonts w:ascii="Arial Narrow" w:hAnsi="Arial Narrow"/>
                <w:sz w:val="22"/>
                <w:szCs w:val="22"/>
                <w:lang w:val="de-DE"/>
              </w:rPr>
              <w:t>Mutationen wie z. B. JAK2V617F und die Ausschaltung negativer Kontrollmechanismen gehören</w:t>
            </w:r>
            <w:r w:rsidR="00ED3724">
              <w:rPr>
                <w:rFonts w:ascii="Arial Narrow" w:hAnsi="Arial Narrow"/>
                <w:sz w:val="22"/>
                <w:szCs w:val="22"/>
                <w:lang w:val="de-DE"/>
              </w:rPr>
              <w:t xml:space="preserve">. </w:t>
            </w:r>
            <w:proofErr w:type="spellStart"/>
            <w:r w:rsidRPr="00B86C0C">
              <w:rPr>
                <w:rFonts w:ascii="Arial Narrow" w:hAnsi="Arial Narrow"/>
                <w:sz w:val="22"/>
                <w:szCs w:val="22"/>
                <w:lang w:val="de-DE"/>
              </w:rPr>
              <w:t>Ruxolitinib</w:t>
            </w:r>
            <w:proofErr w:type="spellEnd"/>
            <w:r w:rsidRPr="00B86C0C">
              <w:rPr>
                <w:rFonts w:ascii="Arial Narrow" w:hAnsi="Arial Narrow"/>
                <w:sz w:val="22"/>
                <w:szCs w:val="22"/>
                <w:lang w:val="de-DE"/>
              </w:rPr>
              <w:t xml:space="preserve"> hemmt den JAK-STAT-Signalweg, der bei hämatologischer Malignome und bei Immunzelltypen, die eine wichtige Rolle bei der Pathogenese der </w:t>
            </w:r>
            <w:proofErr w:type="spellStart"/>
            <w:r w:rsidRPr="00B86C0C">
              <w:rPr>
                <w:rFonts w:ascii="Arial Narrow" w:hAnsi="Arial Narrow"/>
                <w:sz w:val="22"/>
                <w:szCs w:val="22"/>
                <w:lang w:val="de-DE"/>
              </w:rPr>
              <w:t>GvDH</w:t>
            </w:r>
            <w:proofErr w:type="spellEnd"/>
            <w:r w:rsidRPr="00B86C0C">
              <w:rPr>
                <w:rFonts w:ascii="Arial Narrow" w:hAnsi="Arial Narrow"/>
                <w:sz w:val="22"/>
                <w:szCs w:val="22"/>
                <w:lang w:val="de-DE"/>
              </w:rPr>
              <w:t xml:space="preserve"> </w:t>
            </w:r>
            <w:r w:rsidR="00ED3724" w:rsidRPr="00B86C0C">
              <w:rPr>
                <w:rFonts w:ascii="Arial Narrow" w:hAnsi="Arial Narrow"/>
                <w:sz w:val="22"/>
                <w:szCs w:val="22"/>
                <w:lang w:val="de-DE"/>
              </w:rPr>
              <w:t>haben.</w:t>
            </w:r>
            <w:r w:rsidRPr="00B86C0C">
              <w:rPr>
                <w:rFonts w:ascii="Arial Narrow" w:hAnsi="Arial Narrow"/>
                <w:sz w:val="22"/>
                <w:szCs w:val="22"/>
                <w:lang w:val="de-DE"/>
              </w:rPr>
              <w:cr/>
            </w:r>
          </w:p>
          <w:p w14:paraId="7B97410E" w14:textId="77777777" w:rsidR="004B71EB" w:rsidRPr="006C093C" w:rsidRDefault="004B71EB" w:rsidP="004B71EB">
            <w:pPr>
              <w:pStyle w:val="Default"/>
              <w:rPr>
                <w:rFonts w:ascii="Arial Narrow" w:hAnsi="Arial Narrow"/>
                <w:sz w:val="23"/>
                <w:szCs w:val="23"/>
                <w:lang w:val="de-DE"/>
              </w:rPr>
            </w:pPr>
            <w:r w:rsidRPr="006C093C">
              <w:rPr>
                <w:rFonts w:ascii="Arial Narrow" w:hAnsi="Arial Narrow"/>
                <w:b/>
                <w:bCs/>
                <w:sz w:val="23"/>
                <w:szCs w:val="23"/>
                <w:lang w:val="de-DE"/>
              </w:rPr>
              <w:t>Evidenzlage</w:t>
            </w:r>
          </w:p>
          <w:p w14:paraId="070BBEC1" w14:textId="77777777" w:rsidR="007B78D6" w:rsidRPr="007B78D6" w:rsidRDefault="007B78D6" w:rsidP="007B78D6">
            <w:pPr>
              <w:pStyle w:val="Default"/>
              <w:rPr>
                <w:rFonts w:ascii="Arial Narrow" w:hAnsi="Arial Narrow"/>
                <w:bCs/>
                <w:sz w:val="22"/>
                <w:szCs w:val="22"/>
                <w:lang w:val="de-DE"/>
              </w:rPr>
            </w:pPr>
            <w:proofErr w:type="spellStart"/>
            <w:r w:rsidRPr="007B78D6">
              <w:rPr>
                <w:rFonts w:ascii="Arial Narrow" w:hAnsi="Arial Narrow"/>
                <w:bCs/>
                <w:sz w:val="22"/>
                <w:szCs w:val="22"/>
                <w:lang w:val="de-DE"/>
              </w:rPr>
              <w:t>Myelofibrose</w:t>
            </w:r>
            <w:proofErr w:type="spellEnd"/>
          </w:p>
          <w:p w14:paraId="68A1A7AF" w14:textId="77777777" w:rsidR="007B78D6" w:rsidRPr="007B78D6" w:rsidRDefault="007B78D6" w:rsidP="007B78D6">
            <w:pPr>
              <w:pStyle w:val="Default"/>
              <w:rPr>
                <w:rFonts w:ascii="Arial Narrow" w:hAnsi="Arial Narrow"/>
                <w:bCs/>
                <w:sz w:val="22"/>
                <w:szCs w:val="22"/>
                <w:lang w:val="de-DE"/>
              </w:rPr>
            </w:pPr>
            <w:proofErr w:type="spellStart"/>
            <w:r w:rsidRPr="007B78D6">
              <w:rPr>
                <w:rFonts w:ascii="Arial Narrow" w:hAnsi="Arial Narrow"/>
                <w:bCs/>
                <w:sz w:val="22"/>
                <w:szCs w:val="22"/>
                <w:lang w:val="de-DE"/>
              </w:rPr>
              <w:t>Ruxolitinib</w:t>
            </w:r>
            <w:proofErr w:type="spellEnd"/>
            <w:r w:rsidRPr="007B78D6">
              <w:rPr>
                <w:rFonts w:ascii="Arial Narrow" w:hAnsi="Arial Narrow"/>
                <w:bCs/>
                <w:sz w:val="22"/>
                <w:szCs w:val="22"/>
                <w:lang w:val="de-DE"/>
              </w:rPr>
              <w:t xml:space="preserve"> wurde in zwei randomisierten, </w:t>
            </w:r>
            <w:proofErr w:type="spellStart"/>
            <w:r w:rsidRPr="007B78D6">
              <w:rPr>
                <w:rFonts w:ascii="Arial Narrow" w:hAnsi="Arial Narrow"/>
                <w:bCs/>
                <w:sz w:val="22"/>
                <w:szCs w:val="22"/>
                <w:lang w:val="de-DE"/>
              </w:rPr>
              <w:t>placebokontrollierten</w:t>
            </w:r>
            <w:proofErr w:type="spellEnd"/>
            <w:r w:rsidRPr="007B78D6">
              <w:rPr>
                <w:rFonts w:ascii="Arial Narrow" w:hAnsi="Arial Narrow"/>
                <w:bCs/>
                <w:sz w:val="22"/>
                <w:szCs w:val="22"/>
                <w:lang w:val="de-DE"/>
              </w:rPr>
              <w:t xml:space="preserve"> Phase III -Studien (COMFORT-I, 309 Patienten; COMFORT-II 219 Patienten) bei Patienten mit fortgeschrittener </w:t>
            </w:r>
            <w:proofErr w:type="spellStart"/>
            <w:r w:rsidRPr="007B78D6">
              <w:rPr>
                <w:rFonts w:ascii="Arial Narrow" w:hAnsi="Arial Narrow"/>
                <w:bCs/>
                <w:sz w:val="22"/>
                <w:szCs w:val="22"/>
                <w:lang w:val="de-DE"/>
              </w:rPr>
              <w:t>Myelofibrose</w:t>
            </w:r>
            <w:proofErr w:type="spellEnd"/>
            <w:r w:rsidRPr="007B78D6">
              <w:rPr>
                <w:rFonts w:ascii="Arial Narrow" w:hAnsi="Arial Narrow"/>
                <w:bCs/>
                <w:sz w:val="22"/>
                <w:szCs w:val="22"/>
                <w:lang w:val="de-DE"/>
              </w:rPr>
              <w:t xml:space="preserve"> gegen Placebo, bzw. Best </w:t>
            </w:r>
            <w:proofErr w:type="spellStart"/>
            <w:r w:rsidRPr="007B78D6">
              <w:rPr>
                <w:rFonts w:ascii="Arial Narrow" w:hAnsi="Arial Narrow"/>
                <w:bCs/>
                <w:sz w:val="22"/>
                <w:szCs w:val="22"/>
                <w:lang w:val="de-DE"/>
              </w:rPr>
              <w:t>Available</w:t>
            </w:r>
            <w:proofErr w:type="spellEnd"/>
            <w:r w:rsidRPr="007B78D6">
              <w:rPr>
                <w:rFonts w:ascii="Arial Narrow" w:hAnsi="Arial Narrow"/>
                <w:bCs/>
                <w:sz w:val="22"/>
                <w:szCs w:val="22"/>
                <w:lang w:val="de-DE"/>
              </w:rPr>
              <w:t xml:space="preserve"> </w:t>
            </w:r>
            <w:proofErr w:type="spellStart"/>
            <w:r w:rsidRPr="007B78D6">
              <w:rPr>
                <w:rFonts w:ascii="Arial Narrow" w:hAnsi="Arial Narrow"/>
                <w:bCs/>
                <w:sz w:val="22"/>
                <w:szCs w:val="22"/>
                <w:lang w:val="de-DE"/>
              </w:rPr>
              <w:t>Therapy</w:t>
            </w:r>
            <w:proofErr w:type="spellEnd"/>
            <w:r w:rsidRPr="007B78D6">
              <w:rPr>
                <w:rFonts w:ascii="Arial Narrow" w:hAnsi="Arial Narrow"/>
                <w:bCs/>
                <w:sz w:val="22"/>
                <w:szCs w:val="22"/>
                <w:lang w:val="de-DE"/>
              </w:rPr>
              <w:t xml:space="preserve"> (BAT) untersucht. Der primäre Endpunkt war die Verringerung der Milzgröße um 35%. Dieser wurde in bei Patienten mit JAK-Mutation in 47,8 % versus 0,8% bzw. 32,7 % versus 0% erreicht.</w:t>
            </w:r>
          </w:p>
          <w:p w14:paraId="63BE9BBC" w14:textId="77777777" w:rsidR="007B78D6" w:rsidRDefault="007B78D6" w:rsidP="007B78D6">
            <w:pPr>
              <w:pStyle w:val="Default"/>
              <w:rPr>
                <w:rFonts w:ascii="Arial Narrow" w:hAnsi="Arial Narrow"/>
                <w:bCs/>
                <w:sz w:val="22"/>
                <w:szCs w:val="22"/>
                <w:lang w:val="de-DE"/>
              </w:rPr>
            </w:pPr>
          </w:p>
          <w:p w14:paraId="1CAADFE9" w14:textId="3EC697E9" w:rsidR="007B78D6" w:rsidRPr="007B78D6" w:rsidRDefault="007B78D6" w:rsidP="007B78D6">
            <w:pPr>
              <w:pStyle w:val="Default"/>
              <w:rPr>
                <w:rFonts w:ascii="Arial Narrow" w:hAnsi="Arial Narrow"/>
                <w:bCs/>
                <w:sz w:val="22"/>
                <w:szCs w:val="22"/>
                <w:lang w:val="de-DE"/>
              </w:rPr>
            </w:pPr>
            <w:proofErr w:type="spellStart"/>
            <w:r w:rsidRPr="007B78D6">
              <w:rPr>
                <w:rFonts w:ascii="Arial Narrow" w:hAnsi="Arial Narrow"/>
                <w:bCs/>
                <w:sz w:val="22"/>
                <w:szCs w:val="22"/>
                <w:lang w:val="de-DE"/>
              </w:rPr>
              <w:t>Polycythämia</w:t>
            </w:r>
            <w:proofErr w:type="spellEnd"/>
            <w:r w:rsidRPr="007B78D6">
              <w:rPr>
                <w:rFonts w:ascii="Arial Narrow" w:hAnsi="Arial Narrow"/>
                <w:bCs/>
                <w:sz w:val="22"/>
                <w:szCs w:val="22"/>
                <w:lang w:val="de-DE"/>
              </w:rPr>
              <w:t xml:space="preserve"> </w:t>
            </w:r>
            <w:proofErr w:type="spellStart"/>
            <w:r w:rsidRPr="007B78D6">
              <w:rPr>
                <w:rFonts w:ascii="Arial Narrow" w:hAnsi="Arial Narrow"/>
                <w:bCs/>
                <w:sz w:val="22"/>
                <w:szCs w:val="22"/>
                <w:lang w:val="de-DE"/>
              </w:rPr>
              <w:t>vera</w:t>
            </w:r>
            <w:proofErr w:type="spellEnd"/>
          </w:p>
          <w:p w14:paraId="625CA05F" w14:textId="77777777" w:rsidR="007B78D6" w:rsidRPr="007B78D6" w:rsidRDefault="007B78D6" w:rsidP="007B78D6">
            <w:pPr>
              <w:pStyle w:val="Default"/>
              <w:rPr>
                <w:rFonts w:ascii="Arial Narrow" w:hAnsi="Arial Narrow"/>
                <w:bCs/>
                <w:sz w:val="22"/>
                <w:szCs w:val="22"/>
                <w:lang w:val="de-DE"/>
              </w:rPr>
            </w:pPr>
            <w:r w:rsidRPr="007B78D6">
              <w:rPr>
                <w:rFonts w:ascii="Arial Narrow" w:hAnsi="Arial Narrow"/>
                <w:bCs/>
                <w:sz w:val="22"/>
                <w:szCs w:val="22"/>
                <w:lang w:val="de-DE"/>
              </w:rPr>
              <w:t xml:space="preserve">In einer weiteren klinischen Phase III Studie (RESPONSE) zeigte </w:t>
            </w:r>
            <w:proofErr w:type="spellStart"/>
            <w:r w:rsidRPr="007B78D6">
              <w:rPr>
                <w:rFonts w:ascii="Arial Narrow" w:hAnsi="Arial Narrow"/>
                <w:bCs/>
                <w:sz w:val="22"/>
                <w:szCs w:val="22"/>
                <w:lang w:val="de-DE"/>
              </w:rPr>
              <w:t>Ruxolitinib</w:t>
            </w:r>
            <w:proofErr w:type="spellEnd"/>
            <w:r w:rsidRPr="007B78D6">
              <w:rPr>
                <w:rFonts w:ascii="Arial Narrow" w:hAnsi="Arial Narrow"/>
                <w:bCs/>
                <w:sz w:val="22"/>
                <w:szCs w:val="22"/>
                <w:lang w:val="de-DE"/>
              </w:rPr>
              <w:t xml:space="preserve"> bei 222 Patienten mit </w:t>
            </w:r>
            <w:proofErr w:type="spellStart"/>
            <w:r w:rsidRPr="007B78D6">
              <w:rPr>
                <w:rFonts w:ascii="Arial Narrow" w:hAnsi="Arial Narrow"/>
                <w:bCs/>
                <w:sz w:val="22"/>
                <w:szCs w:val="22"/>
                <w:lang w:val="de-DE"/>
              </w:rPr>
              <w:t>Polycythaemia</w:t>
            </w:r>
            <w:proofErr w:type="spellEnd"/>
            <w:r w:rsidRPr="007B78D6">
              <w:rPr>
                <w:rFonts w:ascii="Arial Narrow" w:hAnsi="Arial Narrow"/>
                <w:bCs/>
                <w:sz w:val="22"/>
                <w:szCs w:val="22"/>
                <w:lang w:val="de-DE"/>
              </w:rPr>
              <w:t xml:space="preserve"> </w:t>
            </w:r>
            <w:proofErr w:type="spellStart"/>
            <w:r w:rsidRPr="007B78D6">
              <w:rPr>
                <w:rFonts w:ascii="Arial Narrow" w:hAnsi="Arial Narrow"/>
                <w:bCs/>
                <w:sz w:val="22"/>
                <w:szCs w:val="22"/>
                <w:lang w:val="de-DE"/>
              </w:rPr>
              <w:t>vera</w:t>
            </w:r>
            <w:proofErr w:type="spellEnd"/>
            <w:r w:rsidRPr="007B78D6">
              <w:rPr>
                <w:rFonts w:ascii="Arial Narrow" w:hAnsi="Arial Narrow"/>
                <w:bCs/>
                <w:sz w:val="22"/>
                <w:szCs w:val="22"/>
                <w:lang w:val="de-DE"/>
              </w:rPr>
              <w:t xml:space="preserve"> und Resistenz oder Intoleranz gegenüber </w:t>
            </w:r>
            <w:proofErr w:type="spellStart"/>
            <w:r w:rsidRPr="007B78D6">
              <w:rPr>
                <w:rFonts w:ascii="Arial Narrow" w:hAnsi="Arial Narrow"/>
                <w:bCs/>
                <w:sz w:val="22"/>
                <w:szCs w:val="22"/>
                <w:lang w:val="de-DE"/>
              </w:rPr>
              <w:t>Hydroxycarbamid</w:t>
            </w:r>
            <w:proofErr w:type="spellEnd"/>
            <w:r w:rsidRPr="007B78D6">
              <w:rPr>
                <w:rFonts w:ascii="Arial Narrow" w:hAnsi="Arial Narrow"/>
                <w:bCs/>
                <w:sz w:val="22"/>
                <w:szCs w:val="22"/>
                <w:lang w:val="de-DE"/>
              </w:rPr>
              <w:t xml:space="preserve"> eine deutliche Wirksamkeit bzgl. der Kontrolle des erhöhten </w:t>
            </w:r>
            <w:proofErr w:type="spellStart"/>
            <w:r w:rsidRPr="007B78D6">
              <w:rPr>
                <w:rFonts w:ascii="Arial Narrow" w:hAnsi="Arial Narrow"/>
                <w:bCs/>
                <w:sz w:val="22"/>
                <w:szCs w:val="22"/>
                <w:lang w:val="de-DE"/>
              </w:rPr>
              <w:t>Hämatokrits</w:t>
            </w:r>
            <w:proofErr w:type="spellEnd"/>
            <w:r w:rsidRPr="007B78D6">
              <w:rPr>
                <w:rFonts w:ascii="Arial Narrow" w:hAnsi="Arial Narrow"/>
                <w:bCs/>
                <w:sz w:val="22"/>
                <w:szCs w:val="22"/>
                <w:lang w:val="de-DE"/>
              </w:rPr>
              <w:t xml:space="preserve">, der Verminderung der </w:t>
            </w:r>
            <w:proofErr w:type="spellStart"/>
            <w:r w:rsidRPr="007B78D6">
              <w:rPr>
                <w:rFonts w:ascii="Arial Narrow" w:hAnsi="Arial Narrow"/>
                <w:bCs/>
                <w:sz w:val="22"/>
                <w:szCs w:val="22"/>
                <w:lang w:val="de-DE"/>
              </w:rPr>
              <w:t>Splenomegalie</w:t>
            </w:r>
            <w:proofErr w:type="spellEnd"/>
            <w:r w:rsidRPr="007B78D6">
              <w:rPr>
                <w:rFonts w:ascii="Arial Narrow" w:hAnsi="Arial Narrow"/>
                <w:bCs/>
                <w:sz w:val="22"/>
                <w:szCs w:val="22"/>
                <w:lang w:val="de-DE"/>
              </w:rPr>
              <w:t>, der Verbesserung der Krankheitssymptomatik und der Lebensqualität (23% versus 0,9%, p&lt;0,0001).</w:t>
            </w:r>
          </w:p>
          <w:p w14:paraId="5B3E5E87" w14:textId="77777777" w:rsidR="007B78D6" w:rsidRDefault="007B78D6" w:rsidP="007B78D6">
            <w:pPr>
              <w:pStyle w:val="Default"/>
              <w:rPr>
                <w:rFonts w:ascii="Arial Narrow" w:hAnsi="Arial Narrow"/>
                <w:bCs/>
                <w:sz w:val="22"/>
                <w:szCs w:val="22"/>
                <w:lang w:val="de-DE"/>
              </w:rPr>
            </w:pPr>
          </w:p>
          <w:p w14:paraId="1681353B" w14:textId="7EE2BB74" w:rsidR="007B78D6" w:rsidRPr="007B78D6" w:rsidRDefault="007B78D6" w:rsidP="007B78D6">
            <w:pPr>
              <w:pStyle w:val="Default"/>
              <w:rPr>
                <w:rFonts w:ascii="Arial Narrow" w:hAnsi="Arial Narrow"/>
                <w:bCs/>
                <w:sz w:val="22"/>
                <w:szCs w:val="22"/>
                <w:lang w:val="de-DE"/>
              </w:rPr>
            </w:pPr>
            <w:r w:rsidRPr="007B78D6">
              <w:rPr>
                <w:rFonts w:ascii="Arial Narrow" w:hAnsi="Arial Narrow"/>
                <w:bCs/>
                <w:sz w:val="22"/>
                <w:szCs w:val="22"/>
                <w:lang w:val="de-DE"/>
              </w:rPr>
              <w:t>Graft versus Host Reaktion</w:t>
            </w:r>
          </w:p>
          <w:p w14:paraId="5E6EAB8F" w14:textId="46024641" w:rsidR="00B86C0C" w:rsidRDefault="007B78D6" w:rsidP="007B78D6">
            <w:pPr>
              <w:pStyle w:val="Default"/>
              <w:rPr>
                <w:rFonts w:ascii="Arial Narrow" w:hAnsi="Arial Narrow"/>
                <w:bCs/>
                <w:sz w:val="22"/>
                <w:szCs w:val="22"/>
                <w:lang w:val="de-DE"/>
              </w:rPr>
            </w:pPr>
            <w:proofErr w:type="spellStart"/>
            <w:r w:rsidRPr="007B78D6">
              <w:rPr>
                <w:rFonts w:ascii="Arial Narrow" w:hAnsi="Arial Narrow"/>
                <w:bCs/>
                <w:sz w:val="22"/>
                <w:szCs w:val="22"/>
                <w:lang w:val="de-DE"/>
              </w:rPr>
              <w:t>Ruxolitinib</w:t>
            </w:r>
            <w:proofErr w:type="spellEnd"/>
            <w:r w:rsidRPr="007B78D6">
              <w:rPr>
                <w:rFonts w:ascii="Arial Narrow" w:hAnsi="Arial Narrow"/>
                <w:bCs/>
                <w:sz w:val="22"/>
                <w:szCs w:val="22"/>
                <w:lang w:val="de-DE"/>
              </w:rPr>
              <w:t xml:space="preserve"> wurde in einer Phase III Studie (REACH 2) bei 309 Patienten ab 12 Jahre mit einer akuten steroid-refraktären Graft-versus-Host-Reaktion vom Grad II bis IV nach </w:t>
            </w:r>
            <w:proofErr w:type="spellStart"/>
            <w:r w:rsidRPr="007B78D6">
              <w:rPr>
                <w:rFonts w:ascii="Arial Narrow" w:hAnsi="Arial Narrow"/>
                <w:bCs/>
                <w:sz w:val="22"/>
                <w:szCs w:val="22"/>
                <w:lang w:val="de-DE"/>
              </w:rPr>
              <w:t>allogener</w:t>
            </w:r>
            <w:proofErr w:type="spellEnd"/>
            <w:r w:rsidRPr="007B78D6">
              <w:rPr>
                <w:rFonts w:ascii="Arial Narrow" w:hAnsi="Arial Narrow"/>
                <w:bCs/>
                <w:sz w:val="22"/>
                <w:szCs w:val="22"/>
                <w:lang w:val="de-DE"/>
              </w:rPr>
              <w:t xml:space="preserve"> Stammzelltransplantation untersucht.</w:t>
            </w:r>
            <w:r>
              <w:rPr>
                <w:rFonts w:ascii="Arial Narrow" w:hAnsi="Arial Narrow"/>
                <w:bCs/>
                <w:sz w:val="22"/>
                <w:szCs w:val="22"/>
                <w:lang w:val="de-DE"/>
              </w:rPr>
              <w:t xml:space="preserve"> </w:t>
            </w:r>
            <w:r w:rsidR="00B86C0C" w:rsidRPr="00B86C0C">
              <w:rPr>
                <w:rFonts w:ascii="Arial Narrow" w:hAnsi="Arial Narrow"/>
                <w:bCs/>
                <w:sz w:val="22"/>
                <w:szCs w:val="22"/>
                <w:lang w:val="de-DE"/>
              </w:rPr>
              <w:t xml:space="preserve">Der primäre Endpunkt war die Overall Response Rate (ORR) zu Tag 28. Dieser wurde erreicht und lag im </w:t>
            </w:r>
            <w:proofErr w:type="spellStart"/>
            <w:r w:rsidR="00B86C0C" w:rsidRPr="00B86C0C">
              <w:rPr>
                <w:rFonts w:ascii="Arial Narrow" w:hAnsi="Arial Narrow"/>
                <w:bCs/>
                <w:sz w:val="22"/>
                <w:szCs w:val="22"/>
                <w:lang w:val="de-DE"/>
              </w:rPr>
              <w:t>Ruxolitinib</w:t>
            </w:r>
            <w:proofErr w:type="spellEnd"/>
            <w:r w:rsidR="00B86C0C" w:rsidRPr="00B86C0C">
              <w:rPr>
                <w:rFonts w:ascii="Arial Narrow" w:hAnsi="Arial Narrow"/>
                <w:bCs/>
                <w:sz w:val="22"/>
                <w:szCs w:val="22"/>
                <w:lang w:val="de-DE"/>
              </w:rPr>
              <w:t xml:space="preserve"> Arm bei 62,3% vs. einer ORR von 39,4% unter Placebo (p &lt;0.001). </w:t>
            </w:r>
          </w:p>
          <w:p w14:paraId="6FA572E7" w14:textId="77777777" w:rsidR="007B78D6" w:rsidRPr="007B78D6" w:rsidRDefault="007B78D6" w:rsidP="007B78D6">
            <w:pPr>
              <w:pStyle w:val="Default"/>
              <w:rPr>
                <w:rFonts w:ascii="Arial Narrow" w:hAnsi="Arial Narrow"/>
                <w:bCs/>
                <w:sz w:val="22"/>
                <w:szCs w:val="22"/>
                <w:lang w:val="de-DE"/>
              </w:rPr>
            </w:pPr>
            <w:r w:rsidRPr="007B78D6">
              <w:rPr>
                <w:rFonts w:ascii="Arial Narrow" w:hAnsi="Arial Narrow"/>
                <w:bCs/>
                <w:sz w:val="22"/>
                <w:szCs w:val="22"/>
                <w:lang w:val="de-DE"/>
              </w:rPr>
              <w:t xml:space="preserve">In der REACH5 Studie wurden 45 pädiatrische Patienten mit mittelschwerer oder schwerer chronischer </w:t>
            </w:r>
            <w:proofErr w:type="spellStart"/>
            <w:r w:rsidRPr="007B78D6">
              <w:rPr>
                <w:rFonts w:ascii="Arial Narrow" w:hAnsi="Arial Narrow"/>
                <w:bCs/>
                <w:sz w:val="22"/>
                <w:szCs w:val="22"/>
                <w:lang w:val="de-DE"/>
              </w:rPr>
              <w:t>GvHD</w:t>
            </w:r>
            <w:proofErr w:type="spellEnd"/>
            <w:r w:rsidRPr="007B78D6">
              <w:rPr>
                <w:rFonts w:ascii="Arial Narrow" w:hAnsi="Arial Narrow"/>
                <w:bCs/>
                <w:sz w:val="22"/>
                <w:szCs w:val="22"/>
                <w:lang w:val="de-DE"/>
              </w:rPr>
              <w:t xml:space="preserve"> mit </w:t>
            </w:r>
            <w:proofErr w:type="spellStart"/>
            <w:r w:rsidRPr="007B78D6">
              <w:rPr>
                <w:rFonts w:ascii="Arial Narrow" w:hAnsi="Arial Narrow"/>
                <w:bCs/>
                <w:sz w:val="22"/>
                <w:szCs w:val="22"/>
                <w:lang w:val="de-DE"/>
              </w:rPr>
              <w:t>Ruxolitinib</w:t>
            </w:r>
            <w:proofErr w:type="spellEnd"/>
            <w:r w:rsidRPr="007B78D6">
              <w:rPr>
                <w:rFonts w:ascii="Arial Narrow" w:hAnsi="Arial Narrow"/>
                <w:bCs/>
                <w:sz w:val="22"/>
                <w:szCs w:val="22"/>
                <w:lang w:val="de-DE"/>
              </w:rPr>
              <w:t xml:space="preserve"> und </w:t>
            </w:r>
            <w:proofErr w:type="spellStart"/>
            <w:r w:rsidRPr="007B78D6">
              <w:rPr>
                <w:rFonts w:ascii="Arial Narrow" w:hAnsi="Arial Narrow"/>
                <w:bCs/>
                <w:sz w:val="22"/>
                <w:szCs w:val="22"/>
                <w:lang w:val="de-DE"/>
              </w:rPr>
              <w:t>Kortikosteroiden</w:t>
            </w:r>
            <w:proofErr w:type="spellEnd"/>
            <w:r w:rsidRPr="007B78D6">
              <w:rPr>
                <w:rFonts w:ascii="Arial Narrow" w:hAnsi="Arial Narrow"/>
                <w:bCs/>
                <w:sz w:val="22"/>
                <w:szCs w:val="22"/>
                <w:lang w:val="de-DE"/>
              </w:rPr>
              <w:t xml:space="preserve"> +/− CNI behandelt. Die ORR an Tag 169 (primärer Wirksamkeitsendpunkt) lag für alle pädiatrischen REACH5-Patienten bei 40 % (90 %-KI: 27,7; 53,3) und für steroid-refraktäre Patienten</w:t>
            </w:r>
          </w:p>
          <w:p w14:paraId="393605F3" w14:textId="77777777" w:rsidR="007B78D6" w:rsidRPr="007B78D6" w:rsidRDefault="007B78D6" w:rsidP="007B78D6">
            <w:pPr>
              <w:pStyle w:val="Default"/>
              <w:rPr>
                <w:rFonts w:ascii="Arial Narrow" w:hAnsi="Arial Narrow"/>
                <w:bCs/>
                <w:sz w:val="22"/>
                <w:szCs w:val="22"/>
                <w:lang w:val="de-DE"/>
              </w:rPr>
            </w:pPr>
            <w:r w:rsidRPr="007B78D6">
              <w:rPr>
                <w:rFonts w:ascii="Arial Narrow" w:hAnsi="Arial Narrow"/>
                <w:bCs/>
                <w:sz w:val="22"/>
                <w:szCs w:val="22"/>
                <w:lang w:val="de-DE"/>
              </w:rPr>
              <w:t>bei 39,3 %</w:t>
            </w:r>
          </w:p>
          <w:p w14:paraId="604E1662" w14:textId="688F02D5" w:rsidR="007B78D6" w:rsidRPr="00B86C0C" w:rsidRDefault="007B78D6" w:rsidP="007B78D6">
            <w:pPr>
              <w:pStyle w:val="Default"/>
              <w:rPr>
                <w:rFonts w:ascii="Arial Narrow" w:hAnsi="Arial Narrow"/>
                <w:bCs/>
                <w:sz w:val="22"/>
                <w:szCs w:val="22"/>
                <w:lang w:val="de-DE"/>
              </w:rPr>
            </w:pPr>
            <w:r w:rsidRPr="007B78D6">
              <w:rPr>
                <w:rFonts w:ascii="Arial Narrow" w:hAnsi="Arial Narrow"/>
                <w:bCs/>
                <w:sz w:val="22"/>
                <w:szCs w:val="22"/>
                <w:lang w:val="de-DE"/>
              </w:rPr>
              <w:t>Quelle Fachinformation Stand Juni 2025, Zugriff 29.7.2025</w:t>
            </w:r>
          </w:p>
          <w:p w14:paraId="068136B4" w14:textId="77777777" w:rsidR="00B86C0C" w:rsidRDefault="00B86C0C" w:rsidP="00B86C0C">
            <w:pPr>
              <w:pStyle w:val="Default"/>
              <w:rPr>
                <w:rFonts w:ascii="Arial Narrow" w:hAnsi="Arial Narrow"/>
                <w:b/>
                <w:sz w:val="22"/>
                <w:szCs w:val="22"/>
                <w:lang w:val="de-DE"/>
              </w:rPr>
            </w:pPr>
          </w:p>
          <w:p w14:paraId="4F757878" w14:textId="295A4120" w:rsidR="004B71EB" w:rsidRPr="0066465C" w:rsidRDefault="004B71EB" w:rsidP="00B86C0C">
            <w:pPr>
              <w:pStyle w:val="Default"/>
              <w:rPr>
                <w:rFonts w:ascii="Arial Narrow" w:hAnsi="Arial Narrow"/>
                <w:b/>
                <w:sz w:val="22"/>
                <w:szCs w:val="22"/>
                <w:lang w:val="de-DE"/>
              </w:rPr>
            </w:pPr>
            <w:r w:rsidRPr="0066465C">
              <w:rPr>
                <w:rFonts w:ascii="Arial Narrow" w:hAnsi="Arial Narrow"/>
                <w:b/>
                <w:sz w:val="22"/>
                <w:szCs w:val="22"/>
                <w:lang w:val="de-DE"/>
              </w:rPr>
              <w:t xml:space="preserve">Dosis: </w:t>
            </w:r>
          </w:p>
          <w:p w14:paraId="0AF79188" w14:textId="4AD6C1E9" w:rsidR="0046301A" w:rsidRPr="00231CBC" w:rsidRDefault="007B78D6" w:rsidP="0046301A">
            <w:pPr>
              <w:rPr>
                <w:rFonts w:ascii="Arial Narrow" w:hAnsi="Arial Narrow"/>
              </w:rPr>
            </w:pPr>
            <w:r>
              <w:rPr>
                <w:rFonts w:ascii="Arial Narrow" w:hAnsi="Arial Narrow"/>
                <w:sz w:val="22"/>
                <w:szCs w:val="22"/>
              </w:rPr>
              <w:t>Z</w:t>
            </w:r>
            <w:r w:rsidR="00B86C0C" w:rsidRPr="00B86C0C">
              <w:rPr>
                <w:rFonts w:ascii="Arial Narrow" w:hAnsi="Arial Narrow"/>
                <w:sz w:val="22"/>
                <w:szCs w:val="22"/>
              </w:rPr>
              <w:t xml:space="preserve">wischen 20 und </w:t>
            </w:r>
            <w:r w:rsidR="00ED3724">
              <w:rPr>
                <w:rFonts w:ascii="Arial Narrow" w:hAnsi="Arial Narrow"/>
                <w:sz w:val="22"/>
                <w:szCs w:val="22"/>
              </w:rPr>
              <w:t>5</w:t>
            </w:r>
            <w:r w:rsidR="00B86C0C" w:rsidRPr="00B86C0C">
              <w:rPr>
                <w:rFonts w:ascii="Arial Narrow" w:hAnsi="Arial Narrow"/>
                <w:sz w:val="22"/>
                <w:szCs w:val="22"/>
              </w:rPr>
              <w:t xml:space="preserve">0 mg </w:t>
            </w:r>
            <w:proofErr w:type="spellStart"/>
            <w:r w:rsidR="00B86C0C" w:rsidRPr="00B86C0C">
              <w:rPr>
                <w:rFonts w:ascii="Arial Narrow" w:hAnsi="Arial Narrow"/>
                <w:sz w:val="22"/>
                <w:szCs w:val="22"/>
              </w:rPr>
              <w:t>p.o</w:t>
            </w:r>
            <w:proofErr w:type="spellEnd"/>
            <w:r w:rsidR="00B86C0C" w:rsidRPr="00B86C0C">
              <w:rPr>
                <w:rFonts w:ascii="Arial Narrow" w:hAnsi="Arial Narrow"/>
                <w:sz w:val="22"/>
                <w:szCs w:val="22"/>
              </w:rPr>
              <w:t>. täglich.</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19C7DEA3" w:rsidR="00CC7E5F" w:rsidRPr="006354B6" w:rsidRDefault="00B86C0C" w:rsidP="004B71EB">
            <w:pPr>
              <w:tabs>
                <w:tab w:val="left" w:pos="3568"/>
              </w:tabs>
              <w:rPr>
                <w:rFonts w:ascii="Arial Narrow" w:hAnsi="Arial Narrow"/>
                <w:sz w:val="22"/>
              </w:rPr>
            </w:pPr>
            <w:r>
              <w:rPr>
                <w:rFonts w:ascii="Arial Narrow" w:hAnsi="Arial Narrow"/>
                <w:sz w:val="22"/>
                <w:szCs w:val="22"/>
              </w:rPr>
              <w:t>6-009</w:t>
            </w:r>
            <w:r w:rsidR="004B71EB" w:rsidRPr="008C3CBB">
              <w:rPr>
                <w:rFonts w:ascii="Arial Narrow" w:hAnsi="Arial Narrow"/>
                <w:sz w:val="22"/>
                <w:szCs w:val="22"/>
              </w:rPr>
              <w:t>.</w:t>
            </w:r>
            <w:r>
              <w:rPr>
                <w:rFonts w:ascii="Arial Narrow" w:hAnsi="Arial Narrow"/>
                <w:sz w:val="22"/>
                <w:szCs w:val="22"/>
              </w:rPr>
              <w:t>4</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055DF783" w14:textId="77777777" w:rsidR="00B86C0C" w:rsidRPr="00B86C0C" w:rsidRDefault="00B86C0C" w:rsidP="00B86C0C">
            <w:pPr>
              <w:pStyle w:val="Default"/>
              <w:shd w:val="clear" w:color="auto" w:fill="FFFFFF" w:themeFill="background1"/>
              <w:jc w:val="both"/>
              <w:rPr>
                <w:rFonts w:ascii="Arial Narrow" w:hAnsi="Arial Narrow"/>
                <w:sz w:val="22"/>
                <w:szCs w:val="22"/>
                <w:u w:val="single"/>
                <w:shd w:val="clear" w:color="auto" w:fill="FAF9F8"/>
                <w:lang w:val="de-DE"/>
              </w:rPr>
            </w:pPr>
            <w:proofErr w:type="spellStart"/>
            <w:r w:rsidRPr="00B86C0C">
              <w:rPr>
                <w:rFonts w:ascii="Arial Narrow" w:hAnsi="Arial Narrow"/>
                <w:sz w:val="22"/>
                <w:szCs w:val="22"/>
                <w:u w:val="single"/>
                <w:shd w:val="clear" w:color="auto" w:fill="FAF9F8"/>
                <w:lang w:val="de-DE"/>
              </w:rPr>
              <w:t>Myelofibrose</w:t>
            </w:r>
            <w:proofErr w:type="spellEnd"/>
            <w:r w:rsidRPr="00B86C0C">
              <w:rPr>
                <w:rFonts w:ascii="Arial Narrow" w:hAnsi="Arial Narrow"/>
                <w:sz w:val="22"/>
                <w:szCs w:val="22"/>
                <w:u w:val="single"/>
                <w:shd w:val="clear" w:color="auto" w:fill="FAF9F8"/>
                <w:lang w:val="de-DE"/>
              </w:rPr>
              <w:t xml:space="preserve"> (MF)</w:t>
            </w:r>
          </w:p>
          <w:p w14:paraId="00ED226D" w14:textId="77777777" w:rsidR="00B86C0C" w:rsidRP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proofErr w:type="spellStart"/>
            <w:r w:rsidRPr="00B86C0C">
              <w:rPr>
                <w:rFonts w:ascii="Arial Narrow" w:hAnsi="Arial Narrow"/>
                <w:sz w:val="22"/>
                <w:szCs w:val="22"/>
                <w:shd w:val="clear" w:color="auto" w:fill="FAF9F8"/>
                <w:lang w:val="de-DE"/>
              </w:rPr>
              <w:t>Ruxolitinib</w:t>
            </w:r>
            <w:proofErr w:type="spellEnd"/>
            <w:r w:rsidRPr="00B86C0C">
              <w:rPr>
                <w:rFonts w:ascii="Arial Narrow" w:hAnsi="Arial Narrow"/>
                <w:sz w:val="22"/>
                <w:szCs w:val="22"/>
                <w:shd w:val="clear" w:color="auto" w:fill="FAF9F8"/>
                <w:lang w:val="de-DE"/>
              </w:rPr>
              <w:t xml:space="preserve"> ist angezeigt für die Behandlung von krankheitsbedingter </w:t>
            </w:r>
            <w:proofErr w:type="spellStart"/>
            <w:r w:rsidRPr="00B86C0C">
              <w:rPr>
                <w:rFonts w:ascii="Arial Narrow" w:hAnsi="Arial Narrow"/>
                <w:sz w:val="22"/>
                <w:szCs w:val="22"/>
                <w:shd w:val="clear" w:color="auto" w:fill="FAF9F8"/>
                <w:lang w:val="de-DE"/>
              </w:rPr>
              <w:t>Splenomegalie</w:t>
            </w:r>
            <w:proofErr w:type="spellEnd"/>
            <w:r w:rsidRPr="00B86C0C">
              <w:rPr>
                <w:rFonts w:ascii="Arial Narrow" w:hAnsi="Arial Narrow"/>
                <w:sz w:val="22"/>
                <w:szCs w:val="22"/>
                <w:shd w:val="clear" w:color="auto" w:fill="FAF9F8"/>
                <w:lang w:val="de-DE"/>
              </w:rPr>
              <w:t xml:space="preserve"> oder Symptomen bei </w:t>
            </w:r>
          </w:p>
          <w:p w14:paraId="244E6E2A" w14:textId="110CB5DD" w:rsid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r w:rsidRPr="00B86C0C">
              <w:rPr>
                <w:rFonts w:ascii="Arial Narrow" w:hAnsi="Arial Narrow"/>
                <w:sz w:val="22"/>
                <w:szCs w:val="22"/>
                <w:shd w:val="clear" w:color="auto" w:fill="FAF9F8"/>
                <w:lang w:val="de-DE"/>
              </w:rPr>
              <w:t xml:space="preserve">Erwachsenen mit primärer </w:t>
            </w:r>
            <w:proofErr w:type="spellStart"/>
            <w:r w:rsidRPr="00B86C0C">
              <w:rPr>
                <w:rFonts w:ascii="Arial Narrow" w:hAnsi="Arial Narrow"/>
                <w:sz w:val="22"/>
                <w:szCs w:val="22"/>
                <w:shd w:val="clear" w:color="auto" w:fill="FAF9F8"/>
                <w:lang w:val="de-DE"/>
              </w:rPr>
              <w:t>Myelofibrose</w:t>
            </w:r>
            <w:proofErr w:type="spellEnd"/>
            <w:r w:rsidRPr="00B86C0C">
              <w:rPr>
                <w:rFonts w:ascii="Arial Narrow" w:hAnsi="Arial Narrow"/>
                <w:sz w:val="22"/>
                <w:szCs w:val="22"/>
                <w:shd w:val="clear" w:color="auto" w:fill="FAF9F8"/>
                <w:lang w:val="de-DE"/>
              </w:rPr>
              <w:t xml:space="preserve"> (auch bekannt als chronische idiopathische </w:t>
            </w:r>
            <w:proofErr w:type="spellStart"/>
            <w:r w:rsidRPr="00B86C0C">
              <w:rPr>
                <w:rFonts w:ascii="Arial Narrow" w:hAnsi="Arial Narrow"/>
                <w:sz w:val="22"/>
                <w:szCs w:val="22"/>
                <w:shd w:val="clear" w:color="auto" w:fill="FAF9F8"/>
                <w:lang w:val="de-DE"/>
              </w:rPr>
              <w:t>Myelofibrose</w:t>
            </w:r>
            <w:proofErr w:type="spellEnd"/>
            <w:r w:rsidRPr="00B86C0C">
              <w:rPr>
                <w:rFonts w:ascii="Arial Narrow" w:hAnsi="Arial Narrow"/>
                <w:sz w:val="22"/>
                <w:szCs w:val="22"/>
                <w:shd w:val="clear" w:color="auto" w:fill="FAF9F8"/>
                <w:lang w:val="de-DE"/>
              </w:rPr>
              <w:t xml:space="preserve">), </w:t>
            </w:r>
            <w:proofErr w:type="spellStart"/>
            <w:r w:rsidRPr="00B86C0C">
              <w:rPr>
                <w:rFonts w:ascii="Arial Narrow" w:hAnsi="Arial Narrow"/>
                <w:sz w:val="22"/>
                <w:szCs w:val="22"/>
                <w:shd w:val="clear" w:color="auto" w:fill="FAF9F8"/>
                <w:lang w:val="de-DE"/>
              </w:rPr>
              <w:t>PostPolycythaemia-vera-Myelofibrose</w:t>
            </w:r>
            <w:proofErr w:type="spellEnd"/>
            <w:r w:rsidRPr="00B86C0C">
              <w:rPr>
                <w:rFonts w:ascii="Arial Narrow" w:hAnsi="Arial Narrow"/>
                <w:sz w:val="22"/>
                <w:szCs w:val="22"/>
                <w:shd w:val="clear" w:color="auto" w:fill="FAF9F8"/>
                <w:lang w:val="de-DE"/>
              </w:rPr>
              <w:t xml:space="preserve"> oder Post-Essentieller-</w:t>
            </w:r>
            <w:proofErr w:type="spellStart"/>
            <w:r w:rsidRPr="00B86C0C">
              <w:rPr>
                <w:rFonts w:ascii="Arial Narrow" w:hAnsi="Arial Narrow"/>
                <w:sz w:val="22"/>
                <w:szCs w:val="22"/>
                <w:shd w:val="clear" w:color="auto" w:fill="FAF9F8"/>
                <w:lang w:val="de-DE"/>
              </w:rPr>
              <w:t>Thrombozythämie</w:t>
            </w:r>
            <w:proofErr w:type="spellEnd"/>
            <w:r w:rsidRPr="00B86C0C">
              <w:rPr>
                <w:rFonts w:ascii="Arial Narrow" w:hAnsi="Arial Narrow"/>
                <w:sz w:val="22"/>
                <w:szCs w:val="22"/>
                <w:shd w:val="clear" w:color="auto" w:fill="FAF9F8"/>
                <w:lang w:val="de-DE"/>
              </w:rPr>
              <w:t>-</w:t>
            </w:r>
            <w:proofErr w:type="spellStart"/>
            <w:r w:rsidRPr="00B86C0C">
              <w:rPr>
                <w:rFonts w:ascii="Arial Narrow" w:hAnsi="Arial Narrow"/>
                <w:sz w:val="22"/>
                <w:szCs w:val="22"/>
                <w:shd w:val="clear" w:color="auto" w:fill="FAF9F8"/>
                <w:lang w:val="de-DE"/>
              </w:rPr>
              <w:t>Myelofibrose</w:t>
            </w:r>
            <w:proofErr w:type="spellEnd"/>
            <w:r w:rsidRPr="00B86C0C">
              <w:rPr>
                <w:rFonts w:ascii="Arial Narrow" w:hAnsi="Arial Narrow"/>
                <w:sz w:val="22"/>
                <w:szCs w:val="22"/>
                <w:shd w:val="clear" w:color="auto" w:fill="FAF9F8"/>
                <w:lang w:val="de-DE"/>
              </w:rPr>
              <w:t>.</w:t>
            </w:r>
          </w:p>
          <w:p w14:paraId="2FA9AC76" w14:textId="77777777" w:rsidR="00B86C0C" w:rsidRP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p>
          <w:p w14:paraId="6FE50E6F" w14:textId="77777777" w:rsidR="00B86C0C" w:rsidRPr="00B86C0C" w:rsidRDefault="00B86C0C" w:rsidP="00B86C0C">
            <w:pPr>
              <w:pStyle w:val="Default"/>
              <w:shd w:val="clear" w:color="auto" w:fill="FFFFFF" w:themeFill="background1"/>
              <w:jc w:val="both"/>
              <w:rPr>
                <w:rFonts w:ascii="Arial Narrow" w:hAnsi="Arial Narrow"/>
                <w:sz w:val="22"/>
                <w:szCs w:val="22"/>
                <w:u w:val="single"/>
                <w:shd w:val="clear" w:color="auto" w:fill="FAF9F8"/>
                <w:lang w:val="de-DE"/>
              </w:rPr>
            </w:pPr>
            <w:proofErr w:type="spellStart"/>
            <w:r w:rsidRPr="00B86C0C">
              <w:rPr>
                <w:rFonts w:ascii="Arial Narrow" w:hAnsi="Arial Narrow"/>
                <w:sz w:val="22"/>
                <w:szCs w:val="22"/>
                <w:u w:val="single"/>
                <w:shd w:val="clear" w:color="auto" w:fill="FAF9F8"/>
                <w:lang w:val="de-DE"/>
              </w:rPr>
              <w:t>Polycythaemia</w:t>
            </w:r>
            <w:proofErr w:type="spellEnd"/>
            <w:r w:rsidRPr="00B86C0C">
              <w:rPr>
                <w:rFonts w:ascii="Arial Narrow" w:hAnsi="Arial Narrow"/>
                <w:sz w:val="22"/>
                <w:szCs w:val="22"/>
                <w:u w:val="single"/>
                <w:shd w:val="clear" w:color="auto" w:fill="FAF9F8"/>
                <w:lang w:val="de-DE"/>
              </w:rPr>
              <w:t xml:space="preserve"> </w:t>
            </w:r>
            <w:proofErr w:type="spellStart"/>
            <w:r w:rsidRPr="00B86C0C">
              <w:rPr>
                <w:rFonts w:ascii="Arial Narrow" w:hAnsi="Arial Narrow"/>
                <w:sz w:val="22"/>
                <w:szCs w:val="22"/>
                <w:u w:val="single"/>
                <w:shd w:val="clear" w:color="auto" w:fill="FAF9F8"/>
                <w:lang w:val="de-DE"/>
              </w:rPr>
              <w:t>vera</w:t>
            </w:r>
            <w:proofErr w:type="spellEnd"/>
            <w:r w:rsidRPr="00B86C0C">
              <w:rPr>
                <w:rFonts w:ascii="Arial Narrow" w:hAnsi="Arial Narrow"/>
                <w:sz w:val="22"/>
                <w:szCs w:val="22"/>
                <w:u w:val="single"/>
                <w:shd w:val="clear" w:color="auto" w:fill="FAF9F8"/>
                <w:lang w:val="de-DE"/>
              </w:rPr>
              <w:t xml:space="preserve"> (PV)</w:t>
            </w:r>
          </w:p>
          <w:p w14:paraId="4167A11D" w14:textId="77777777" w:rsidR="00B86C0C" w:rsidRP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proofErr w:type="spellStart"/>
            <w:r w:rsidRPr="00B86C0C">
              <w:rPr>
                <w:rFonts w:ascii="Arial Narrow" w:hAnsi="Arial Narrow"/>
                <w:sz w:val="22"/>
                <w:szCs w:val="22"/>
                <w:shd w:val="clear" w:color="auto" w:fill="FAF9F8"/>
                <w:lang w:val="de-DE"/>
              </w:rPr>
              <w:t>Ruxolitinib</w:t>
            </w:r>
            <w:proofErr w:type="spellEnd"/>
            <w:r w:rsidRPr="00B86C0C">
              <w:rPr>
                <w:rFonts w:ascii="Arial Narrow" w:hAnsi="Arial Narrow"/>
                <w:sz w:val="22"/>
                <w:szCs w:val="22"/>
                <w:shd w:val="clear" w:color="auto" w:fill="FAF9F8"/>
                <w:lang w:val="de-DE"/>
              </w:rPr>
              <w:t xml:space="preserve"> ist angezeigt für die Behandlung von Erwachsenen mit </w:t>
            </w:r>
            <w:proofErr w:type="spellStart"/>
            <w:r w:rsidRPr="00B86C0C">
              <w:rPr>
                <w:rFonts w:ascii="Arial Narrow" w:hAnsi="Arial Narrow"/>
                <w:sz w:val="22"/>
                <w:szCs w:val="22"/>
                <w:shd w:val="clear" w:color="auto" w:fill="FAF9F8"/>
                <w:lang w:val="de-DE"/>
              </w:rPr>
              <w:t>Polycythaemia</w:t>
            </w:r>
            <w:proofErr w:type="spellEnd"/>
            <w:r w:rsidRPr="00B86C0C">
              <w:rPr>
                <w:rFonts w:ascii="Arial Narrow" w:hAnsi="Arial Narrow"/>
                <w:sz w:val="22"/>
                <w:szCs w:val="22"/>
                <w:shd w:val="clear" w:color="auto" w:fill="FAF9F8"/>
                <w:lang w:val="de-DE"/>
              </w:rPr>
              <w:t xml:space="preserve"> </w:t>
            </w:r>
            <w:proofErr w:type="spellStart"/>
            <w:r w:rsidRPr="00B86C0C">
              <w:rPr>
                <w:rFonts w:ascii="Arial Narrow" w:hAnsi="Arial Narrow"/>
                <w:sz w:val="22"/>
                <w:szCs w:val="22"/>
                <w:shd w:val="clear" w:color="auto" w:fill="FAF9F8"/>
                <w:lang w:val="de-DE"/>
              </w:rPr>
              <w:t>vera</w:t>
            </w:r>
            <w:proofErr w:type="spellEnd"/>
            <w:r w:rsidRPr="00B86C0C">
              <w:rPr>
                <w:rFonts w:ascii="Arial Narrow" w:hAnsi="Arial Narrow"/>
                <w:sz w:val="22"/>
                <w:szCs w:val="22"/>
                <w:shd w:val="clear" w:color="auto" w:fill="FAF9F8"/>
                <w:lang w:val="de-DE"/>
              </w:rPr>
              <w:t xml:space="preserve">, die resistent oder intolerant </w:t>
            </w:r>
          </w:p>
          <w:p w14:paraId="3F9C9D3E" w14:textId="337EE81D" w:rsid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r w:rsidRPr="00B86C0C">
              <w:rPr>
                <w:rFonts w:ascii="Arial Narrow" w:hAnsi="Arial Narrow"/>
                <w:sz w:val="22"/>
                <w:szCs w:val="22"/>
                <w:shd w:val="clear" w:color="auto" w:fill="FAF9F8"/>
                <w:lang w:val="de-DE"/>
              </w:rPr>
              <w:t xml:space="preserve">gegenüber </w:t>
            </w:r>
            <w:proofErr w:type="spellStart"/>
            <w:r w:rsidRPr="00B86C0C">
              <w:rPr>
                <w:rFonts w:ascii="Arial Narrow" w:hAnsi="Arial Narrow"/>
                <w:sz w:val="22"/>
                <w:szCs w:val="22"/>
                <w:shd w:val="clear" w:color="auto" w:fill="FAF9F8"/>
                <w:lang w:val="de-DE"/>
              </w:rPr>
              <w:t>Hydroxycarbamid</w:t>
            </w:r>
            <w:proofErr w:type="spellEnd"/>
            <w:r w:rsidRPr="00B86C0C">
              <w:rPr>
                <w:rFonts w:ascii="Arial Narrow" w:hAnsi="Arial Narrow"/>
                <w:sz w:val="22"/>
                <w:szCs w:val="22"/>
                <w:shd w:val="clear" w:color="auto" w:fill="FAF9F8"/>
                <w:lang w:val="de-DE"/>
              </w:rPr>
              <w:t xml:space="preserve"> sind.</w:t>
            </w:r>
          </w:p>
          <w:p w14:paraId="269B7535" w14:textId="77777777" w:rsidR="00B86C0C" w:rsidRP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p>
          <w:p w14:paraId="764926D7" w14:textId="76F4C197" w:rsidR="00B86C0C" w:rsidRPr="00B86C0C" w:rsidRDefault="007B78D6" w:rsidP="007B78D6">
            <w:pPr>
              <w:pStyle w:val="Default"/>
              <w:shd w:val="clear" w:color="auto" w:fill="FFFFFF" w:themeFill="background1"/>
              <w:jc w:val="both"/>
              <w:rPr>
                <w:rFonts w:ascii="Arial Narrow" w:hAnsi="Arial Narrow"/>
                <w:sz w:val="22"/>
                <w:szCs w:val="22"/>
                <w:u w:val="single"/>
                <w:shd w:val="clear" w:color="auto" w:fill="FAF9F8"/>
                <w:lang w:val="de-DE"/>
              </w:rPr>
            </w:pPr>
            <w:r>
              <w:rPr>
                <w:rFonts w:ascii="Arial Narrow" w:hAnsi="Arial Narrow"/>
                <w:sz w:val="22"/>
                <w:szCs w:val="22"/>
                <w:u w:val="single"/>
                <w:shd w:val="clear" w:color="auto" w:fill="FAF9F8"/>
                <w:lang w:val="de-DE"/>
              </w:rPr>
              <w:t xml:space="preserve">Akute </w:t>
            </w:r>
            <w:proofErr w:type="spellStart"/>
            <w:r>
              <w:rPr>
                <w:rFonts w:ascii="Arial Narrow" w:hAnsi="Arial Narrow"/>
                <w:sz w:val="22"/>
                <w:szCs w:val="22"/>
                <w:u w:val="single"/>
                <w:shd w:val="clear" w:color="auto" w:fill="FAF9F8"/>
                <w:lang w:val="de-DE"/>
              </w:rPr>
              <w:t>GvHD</w:t>
            </w:r>
            <w:proofErr w:type="spellEnd"/>
          </w:p>
          <w:p w14:paraId="6F6405B5" w14:textId="77777777" w:rsidR="00B86C0C" w:rsidRP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proofErr w:type="spellStart"/>
            <w:r w:rsidRPr="00B86C0C">
              <w:rPr>
                <w:rFonts w:ascii="Arial Narrow" w:hAnsi="Arial Narrow"/>
                <w:sz w:val="22"/>
                <w:szCs w:val="22"/>
                <w:shd w:val="clear" w:color="auto" w:fill="FAF9F8"/>
                <w:lang w:val="de-DE"/>
              </w:rPr>
              <w:t>Ruxolitinib</w:t>
            </w:r>
            <w:proofErr w:type="spellEnd"/>
            <w:r w:rsidRPr="00B86C0C">
              <w:rPr>
                <w:rFonts w:ascii="Arial Narrow" w:hAnsi="Arial Narrow"/>
                <w:sz w:val="22"/>
                <w:szCs w:val="22"/>
                <w:shd w:val="clear" w:color="auto" w:fill="FAF9F8"/>
                <w:lang w:val="de-DE"/>
              </w:rPr>
              <w:t xml:space="preserve"> ist angezeigt für die Behandlung von Patienten ab 12 Jahren mit akuter Graft-versus-Host-Erkrankung </w:t>
            </w:r>
          </w:p>
          <w:p w14:paraId="6B3BD77A" w14:textId="77777777" w:rsidR="00B86C0C" w:rsidRPr="00B86C0C" w:rsidRDefault="00B86C0C" w:rsidP="00B86C0C">
            <w:pPr>
              <w:pStyle w:val="Default"/>
              <w:shd w:val="clear" w:color="auto" w:fill="FFFFFF" w:themeFill="background1"/>
              <w:jc w:val="both"/>
              <w:rPr>
                <w:rFonts w:ascii="Arial Narrow" w:hAnsi="Arial Narrow"/>
                <w:sz w:val="22"/>
                <w:szCs w:val="22"/>
                <w:shd w:val="clear" w:color="auto" w:fill="FAF9F8"/>
                <w:lang w:val="de-DE"/>
              </w:rPr>
            </w:pPr>
            <w:r w:rsidRPr="00B86C0C">
              <w:rPr>
                <w:rFonts w:ascii="Arial Narrow" w:hAnsi="Arial Narrow"/>
                <w:sz w:val="22"/>
                <w:szCs w:val="22"/>
                <w:shd w:val="clear" w:color="auto" w:fill="FAF9F8"/>
                <w:lang w:val="de-DE"/>
              </w:rPr>
              <w:lastRenderedPageBreak/>
              <w:t xml:space="preserve">oder chronischer Graft-versus-Host-Erkrankung, die unzureichend auf </w:t>
            </w:r>
            <w:proofErr w:type="spellStart"/>
            <w:r w:rsidRPr="00B86C0C">
              <w:rPr>
                <w:rFonts w:ascii="Arial Narrow" w:hAnsi="Arial Narrow"/>
                <w:sz w:val="22"/>
                <w:szCs w:val="22"/>
                <w:shd w:val="clear" w:color="auto" w:fill="FAF9F8"/>
                <w:lang w:val="de-DE"/>
              </w:rPr>
              <w:t>Kortikosteroide</w:t>
            </w:r>
            <w:proofErr w:type="spellEnd"/>
            <w:r w:rsidRPr="00B86C0C">
              <w:rPr>
                <w:rFonts w:ascii="Arial Narrow" w:hAnsi="Arial Narrow"/>
                <w:sz w:val="22"/>
                <w:szCs w:val="22"/>
                <w:shd w:val="clear" w:color="auto" w:fill="FAF9F8"/>
                <w:lang w:val="de-DE"/>
              </w:rPr>
              <w:t xml:space="preserve"> oder andere systemische </w:t>
            </w:r>
          </w:p>
          <w:p w14:paraId="0AA48FE8" w14:textId="7C070F01" w:rsidR="00804F14" w:rsidRDefault="00B86C0C" w:rsidP="00B86C0C">
            <w:pPr>
              <w:rPr>
                <w:rFonts w:ascii="Arial Narrow" w:hAnsi="Arial Narrow"/>
                <w:sz w:val="22"/>
                <w:szCs w:val="22"/>
                <w:shd w:val="clear" w:color="auto" w:fill="FAF9F8"/>
              </w:rPr>
            </w:pPr>
            <w:r w:rsidRPr="00B86C0C">
              <w:rPr>
                <w:rFonts w:ascii="Arial Narrow" w:hAnsi="Arial Narrow"/>
                <w:sz w:val="22"/>
                <w:szCs w:val="22"/>
                <w:shd w:val="clear" w:color="auto" w:fill="FAF9F8"/>
              </w:rPr>
              <w:t>Therapien ansprechen.</w:t>
            </w:r>
          </w:p>
          <w:p w14:paraId="35D795D2" w14:textId="77777777" w:rsidR="007B78D6" w:rsidRDefault="007B78D6" w:rsidP="00B86C0C">
            <w:pPr>
              <w:rPr>
                <w:rFonts w:ascii="Arial Narrow" w:hAnsi="Arial Narrow"/>
                <w:sz w:val="22"/>
                <w:szCs w:val="22"/>
                <w:shd w:val="clear" w:color="auto" w:fill="FAF9F8"/>
              </w:rPr>
            </w:pPr>
          </w:p>
          <w:p w14:paraId="2170328C" w14:textId="77777777" w:rsidR="007B78D6" w:rsidRPr="007B78D6" w:rsidRDefault="007B78D6" w:rsidP="007B78D6">
            <w:pPr>
              <w:rPr>
                <w:rFonts w:ascii="Arial Narrow" w:hAnsi="Arial Narrow"/>
                <w:sz w:val="22"/>
                <w:szCs w:val="22"/>
                <w:u w:val="single"/>
              </w:rPr>
            </w:pPr>
            <w:r w:rsidRPr="007B78D6">
              <w:rPr>
                <w:rFonts w:ascii="Arial Narrow" w:hAnsi="Arial Narrow"/>
                <w:sz w:val="22"/>
                <w:szCs w:val="22"/>
                <w:u w:val="single"/>
              </w:rPr>
              <w:t xml:space="preserve">Chronische </w:t>
            </w:r>
            <w:proofErr w:type="spellStart"/>
            <w:r w:rsidRPr="007B78D6">
              <w:rPr>
                <w:rFonts w:ascii="Arial Narrow" w:hAnsi="Arial Narrow"/>
                <w:sz w:val="22"/>
                <w:szCs w:val="22"/>
                <w:u w:val="single"/>
              </w:rPr>
              <w:t>GvHD</w:t>
            </w:r>
            <w:proofErr w:type="spellEnd"/>
          </w:p>
          <w:p w14:paraId="606B75B1" w14:textId="684FE90B" w:rsidR="007B78D6" w:rsidRPr="007F255B" w:rsidRDefault="007B78D6" w:rsidP="007B78D6">
            <w:pPr>
              <w:rPr>
                <w:rFonts w:ascii="Arial Narrow" w:hAnsi="Arial Narrow"/>
                <w:sz w:val="22"/>
                <w:szCs w:val="22"/>
              </w:rPr>
            </w:pPr>
            <w:proofErr w:type="spellStart"/>
            <w:r w:rsidRPr="007B78D6">
              <w:rPr>
                <w:rFonts w:ascii="Arial Narrow" w:hAnsi="Arial Narrow"/>
                <w:sz w:val="22"/>
                <w:szCs w:val="22"/>
              </w:rPr>
              <w:t>Ruxolitinib</w:t>
            </w:r>
            <w:proofErr w:type="spellEnd"/>
            <w:r w:rsidRPr="007B78D6">
              <w:rPr>
                <w:rFonts w:ascii="Arial Narrow" w:hAnsi="Arial Narrow"/>
                <w:sz w:val="22"/>
                <w:szCs w:val="22"/>
              </w:rPr>
              <w:t xml:space="preserve"> wird angewendet für die Behandlung von Erwachsenen und von Kindern und Jugendlichen im Alter von 6 Monaten und älter mit chronischer Graft-versus-Host-Erkrankung, die unzureichend auf </w:t>
            </w:r>
            <w:proofErr w:type="spellStart"/>
            <w:r w:rsidRPr="007B78D6">
              <w:rPr>
                <w:rFonts w:ascii="Arial Narrow" w:hAnsi="Arial Narrow"/>
                <w:sz w:val="22"/>
                <w:szCs w:val="22"/>
              </w:rPr>
              <w:t>Kortikosteroide</w:t>
            </w:r>
            <w:proofErr w:type="spellEnd"/>
            <w:r w:rsidRPr="007B78D6">
              <w:rPr>
                <w:rFonts w:ascii="Arial Narrow" w:hAnsi="Arial Narrow"/>
                <w:sz w:val="22"/>
                <w:szCs w:val="22"/>
              </w:rPr>
              <w:t xml:space="preserve"> oder andere systemische Therapien ansprechen.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062E8A56" w14:textId="77777777" w:rsidR="00B86C0C" w:rsidRPr="00B86C0C" w:rsidRDefault="00B86C0C" w:rsidP="00B86C0C">
            <w:pPr>
              <w:pStyle w:val="Default"/>
              <w:jc w:val="both"/>
              <w:rPr>
                <w:rFonts w:ascii="Arial Narrow" w:hAnsi="Arial Narrow"/>
                <w:color w:val="auto"/>
                <w:sz w:val="22"/>
                <w:szCs w:val="22"/>
                <w:lang w:val="de-DE" w:eastAsia="de-DE"/>
              </w:rPr>
            </w:pPr>
            <w:r w:rsidRPr="00B86C0C">
              <w:rPr>
                <w:rFonts w:ascii="Arial Narrow" w:hAnsi="Arial Narrow"/>
                <w:color w:val="auto"/>
                <w:sz w:val="22"/>
                <w:szCs w:val="22"/>
                <w:lang w:val="de-DE" w:eastAsia="de-DE"/>
              </w:rPr>
              <w:t xml:space="preserve">Ein wesentliches Krankheitssymptom der </w:t>
            </w:r>
            <w:proofErr w:type="spellStart"/>
            <w:r w:rsidRPr="00B86C0C">
              <w:rPr>
                <w:rFonts w:ascii="Arial Narrow" w:hAnsi="Arial Narrow"/>
                <w:color w:val="auto"/>
                <w:sz w:val="22"/>
                <w:szCs w:val="22"/>
                <w:lang w:val="de-DE" w:eastAsia="de-DE"/>
              </w:rPr>
              <w:t>Myelofibrose</w:t>
            </w:r>
            <w:proofErr w:type="spellEnd"/>
            <w:r w:rsidRPr="00B86C0C">
              <w:rPr>
                <w:rFonts w:ascii="Arial Narrow" w:hAnsi="Arial Narrow"/>
                <w:color w:val="auto"/>
                <w:sz w:val="22"/>
                <w:szCs w:val="22"/>
                <w:lang w:val="de-DE" w:eastAsia="de-DE"/>
              </w:rPr>
              <w:t xml:space="preserve"> ist die </w:t>
            </w:r>
            <w:proofErr w:type="spellStart"/>
            <w:r w:rsidRPr="00B86C0C">
              <w:rPr>
                <w:rFonts w:ascii="Arial Narrow" w:hAnsi="Arial Narrow"/>
                <w:color w:val="auto"/>
                <w:sz w:val="22"/>
                <w:szCs w:val="22"/>
                <w:lang w:val="de-DE" w:eastAsia="de-DE"/>
              </w:rPr>
              <w:t>Splenomegalie</w:t>
            </w:r>
            <w:proofErr w:type="spellEnd"/>
            <w:r w:rsidRPr="00B86C0C">
              <w:rPr>
                <w:rFonts w:ascii="Arial Narrow" w:hAnsi="Arial Narrow"/>
                <w:color w:val="auto"/>
                <w:sz w:val="22"/>
                <w:szCs w:val="22"/>
                <w:lang w:val="de-DE" w:eastAsia="de-DE"/>
              </w:rPr>
              <w:t xml:space="preserve">. Wegen der in den klinischen Studien </w:t>
            </w:r>
          </w:p>
          <w:p w14:paraId="427DB45F" w14:textId="77777777" w:rsidR="00B86C0C" w:rsidRPr="00B86C0C" w:rsidRDefault="00B86C0C" w:rsidP="00B86C0C">
            <w:pPr>
              <w:pStyle w:val="Default"/>
              <w:jc w:val="both"/>
              <w:rPr>
                <w:rFonts w:ascii="Arial Narrow" w:hAnsi="Arial Narrow"/>
                <w:color w:val="auto"/>
                <w:sz w:val="22"/>
                <w:szCs w:val="22"/>
                <w:lang w:val="de-DE" w:eastAsia="de-DE"/>
              </w:rPr>
            </w:pPr>
            <w:r w:rsidRPr="00B86C0C">
              <w:rPr>
                <w:rFonts w:ascii="Arial Narrow" w:hAnsi="Arial Narrow"/>
                <w:color w:val="auto"/>
                <w:sz w:val="22"/>
                <w:szCs w:val="22"/>
                <w:lang w:val="de-DE" w:eastAsia="de-DE"/>
              </w:rPr>
              <w:t xml:space="preserve">(COMFORT-I und COMFORT-II) nachgewiesenen Verkleinerung der Milzgröße und des Milzvolumens durch </w:t>
            </w:r>
          </w:p>
          <w:p w14:paraId="6B7D8404" w14:textId="77777777" w:rsidR="00B86C0C" w:rsidRPr="00B86C0C" w:rsidRDefault="00B86C0C" w:rsidP="00B86C0C">
            <w:pPr>
              <w:pStyle w:val="Default"/>
              <w:jc w:val="both"/>
              <w:rPr>
                <w:rFonts w:ascii="Arial Narrow" w:hAnsi="Arial Narrow"/>
                <w:color w:val="auto"/>
                <w:sz w:val="22"/>
                <w:szCs w:val="22"/>
                <w:lang w:val="de-DE" w:eastAsia="de-DE"/>
              </w:rPr>
            </w:pPr>
            <w:proofErr w:type="spellStart"/>
            <w:r w:rsidRPr="00B86C0C">
              <w:rPr>
                <w:rFonts w:ascii="Arial Narrow" w:hAnsi="Arial Narrow"/>
                <w:color w:val="auto"/>
                <w:sz w:val="22"/>
                <w:szCs w:val="22"/>
                <w:lang w:val="de-DE" w:eastAsia="de-DE"/>
              </w:rPr>
              <w:t>Ruxolitinib</w:t>
            </w:r>
            <w:proofErr w:type="spellEnd"/>
            <w:r w:rsidRPr="00B86C0C">
              <w:rPr>
                <w:rFonts w:ascii="Arial Narrow" w:hAnsi="Arial Narrow"/>
                <w:color w:val="auto"/>
                <w:sz w:val="22"/>
                <w:szCs w:val="22"/>
                <w:lang w:val="de-DE" w:eastAsia="de-DE"/>
              </w:rPr>
              <w:t xml:space="preserve"> ist davon auszugehen, dass durch den Einsatz dieser Substanz in der Behandlung der Symptome der </w:t>
            </w:r>
          </w:p>
          <w:p w14:paraId="493E6FAF" w14:textId="77777777" w:rsidR="00B86C0C" w:rsidRPr="00B86C0C" w:rsidRDefault="00B86C0C" w:rsidP="00B86C0C">
            <w:pPr>
              <w:pStyle w:val="Default"/>
              <w:jc w:val="both"/>
              <w:rPr>
                <w:rFonts w:ascii="Arial Narrow" w:hAnsi="Arial Narrow"/>
                <w:color w:val="auto"/>
                <w:sz w:val="22"/>
                <w:szCs w:val="22"/>
                <w:lang w:val="de-DE" w:eastAsia="de-DE"/>
              </w:rPr>
            </w:pPr>
            <w:proofErr w:type="spellStart"/>
            <w:r w:rsidRPr="00B86C0C">
              <w:rPr>
                <w:rFonts w:ascii="Arial Narrow" w:hAnsi="Arial Narrow"/>
                <w:color w:val="auto"/>
                <w:sz w:val="22"/>
                <w:szCs w:val="22"/>
                <w:lang w:val="de-DE" w:eastAsia="de-DE"/>
              </w:rPr>
              <w:t>Myelofibrose</w:t>
            </w:r>
            <w:proofErr w:type="spellEnd"/>
            <w:r w:rsidRPr="00B86C0C">
              <w:rPr>
                <w:rFonts w:ascii="Arial Narrow" w:hAnsi="Arial Narrow"/>
                <w:color w:val="auto"/>
                <w:sz w:val="22"/>
                <w:szCs w:val="22"/>
                <w:lang w:val="de-DE" w:eastAsia="de-DE"/>
              </w:rPr>
              <w:t xml:space="preserve">, die Zahl der in dieser Indikation durchgeführten </w:t>
            </w:r>
            <w:proofErr w:type="spellStart"/>
            <w:r w:rsidRPr="00B86C0C">
              <w:rPr>
                <w:rFonts w:ascii="Arial Narrow" w:hAnsi="Arial Narrow"/>
                <w:color w:val="auto"/>
                <w:sz w:val="22"/>
                <w:szCs w:val="22"/>
                <w:lang w:val="de-DE" w:eastAsia="de-DE"/>
              </w:rPr>
              <w:t>Splenektomien</w:t>
            </w:r>
            <w:proofErr w:type="spellEnd"/>
            <w:r w:rsidRPr="00B86C0C">
              <w:rPr>
                <w:rFonts w:ascii="Arial Narrow" w:hAnsi="Arial Narrow"/>
                <w:color w:val="auto"/>
                <w:sz w:val="22"/>
                <w:szCs w:val="22"/>
                <w:lang w:val="de-DE" w:eastAsia="de-DE"/>
              </w:rPr>
              <w:t xml:space="preserve"> und der Milzbestrahlungen </w:t>
            </w:r>
          </w:p>
          <w:p w14:paraId="7B4F6B81" w14:textId="77777777" w:rsidR="00B86C0C" w:rsidRPr="00B86C0C" w:rsidRDefault="00B86C0C" w:rsidP="00B86C0C">
            <w:pPr>
              <w:pStyle w:val="Default"/>
              <w:jc w:val="both"/>
              <w:rPr>
                <w:rFonts w:ascii="Arial Narrow" w:hAnsi="Arial Narrow"/>
                <w:color w:val="auto"/>
                <w:sz w:val="22"/>
                <w:szCs w:val="22"/>
                <w:lang w:val="de-DE" w:eastAsia="de-DE"/>
              </w:rPr>
            </w:pPr>
            <w:r w:rsidRPr="00B86C0C">
              <w:rPr>
                <w:rFonts w:ascii="Arial Narrow" w:hAnsi="Arial Narrow"/>
                <w:color w:val="auto"/>
                <w:sz w:val="22"/>
                <w:szCs w:val="22"/>
                <w:lang w:val="de-DE" w:eastAsia="de-DE"/>
              </w:rPr>
              <w:t>zurückgehen wird.</w:t>
            </w:r>
          </w:p>
          <w:p w14:paraId="30DC3963" w14:textId="77777777" w:rsidR="00B86C0C" w:rsidRPr="00B86C0C" w:rsidRDefault="00B86C0C" w:rsidP="00B86C0C">
            <w:pPr>
              <w:pStyle w:val="Default"/>
              <w:jc w:val="both"/>
              <w:rPr>
                <w:rFonts w:ascii="Arial Narrow" w:hAnsi="Arial Narrow"/>
                <w:color w:val="auto"/>
                <w:sz w:val="22"/>
                <w:szCs w:val="22"/>
                <w:lang w:val="de-DE" w:eastAsia="de-DE"/>
              </w:rPr>
            </w:pPr>
            <w:proofErr w:type="spellStart"/>
            <w:r w:rsidRPr="00B86C0C">
              <w:rPr>
                <w:rFonts w:ascii="Arial Narrow" w:hAnsi="Arial Narrow"/>
                <w:color w:val="auto"/>
                <w:sz w:val="22"/>
                <w:szCs w:val="22"/>
                <w:lang w:val="de-DE" w:eastAsia="de-DE"/>
              </w:rPr>
              <w:t>Ruxolitinib</w:t>
            </w:r>
            <w:proofErr w:type="spellEnd"/>
            <w:r w:rsidRPr="00B86C0C">
              <w:rPr>
                <w:rFonts w:ascii="Arial Narrow" w:hAnsi="Arial Narrow"/>
                <w:color w:val="auto"/>
                <w:sz w:val="22"/>
                <w:szCs w:val="22"/>
                <w:lang w:val="de-DE" w:eastAsia="de-DE"/>
              </w:rPr>
              <w:t xml:space="preserve"> ergänzt die Therapieoptionen der PV.</w:t>
            </w:r>
          </w:p>
          <w:p w14:paraId="0B9258D2" w14:textId="77777777" w:rsidR="00B86C0C" w:rsidRPr="00B86C0C" w:rsidRDefault="00B86C0C" w:rsidP="00B86C0C">
            <w:pPr>
              <w:pStyle w:val="Default"/>
              <w:jc w:val="both"/>
              <w:rPr>
                <w:rFonts w:ascii="Arial Narrow" w:hAnsi="Arial Narrow"/>
                <w:color w:val="auto"/>
                <w:sz w:val="22"/>
                <w:szCs w:val="22"/>
                <w:lang w:val="de-DE" w:eastAsia="de-DE"/>
              </w:rPr>
            </w:pPr>
            <w:proofErr w:type="spellStart"/>
            <w:r w:rsidRPr="00B86C0C">
              <w:rPr>
                <w:rFonts w:ascii="Arial Narrow" w:hAnsi="Arial Narrow"/>
                <w:color w:val="auto"/>
                <w:sz w:val="22"/>
                <w:szCs w:val="22"/>
                <w:lang w:val="de-DE" w:eastAsia="de-DE"/>
              </w:rPr>
              <w:t>Ruxolitinib</w:t>
            </w:r>
            <w:proofErr w:type="spellEnd"/>
            <w:r w:rsidRPr="00B86C0C">
              <w:rPr>
                <w:rFonts w:ascii="Arial Narrow" w:hAnsi="Arial Narrow"/>
                <w:color w:val="auto"/>
                <w:sz w:val="22"/>
                <w:szCs w:val="22"/>
                <w:lang w:val="de-DE" w:eastAsia="de-DE"/>
              </w:rPr>
              <w:t xml:space="preserve"> ergänzt als für die GVHD zugelassenes Medikament die bisherigen immunsuppressiven Therapien </w:t>
            </w:r>
          </w:p>
          <w:p w14:paraId="3EC3722F" w14:textId="08661934" w:rsidR="00DF3569" w:rsidRPr="00C11458" w:rsidRDefault="00B86C0C" w:rsidP="00B86C0C">
            <w:pPr>
              <w:rPr>
                <w:rFonts w:ascii="Arial Narrow" w:hAnsi="Arial Narrow"/>
                <w:color w:val="00B050"/>
                <w:sz w:val="22"/>
                <w:szCs w:val="22"/>
              </w:rPr>
            </w:pPr>
            <w:r w:rsidRPr="00B86C0C">
              <w:rPr>
                <w:rFonts w:ascii="Arial Narrow" w:hAnsi="Arial Narrow"/>
                <w:sz w:val="22"/>
                <w:szCs w:val="22"/>
              </w:rPr>
              <w:t>der GVHD.</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34252F9A" w:rsidR="008E6675" w:rsidRPr="005638EB" w:rsidRDefault="00B86C0C" w:rsidP="00C11458">
            <w:pPr>
              <w:rPr>
                <w:rFonts w:ascii="Arial Narrow" w:hAnsi="Arial Narrow"/>
              </w:rPr>
            </w:pPr>
            <w:r w:rsidRPr="00B86C0C">
              <w:rPr>
                <w:rFonts w:ascii="Arial Narrow" w:hAnsi="Arial Narrow" w:cs="Arial"/>
                <w:sz w:val="22"/>
                <w:szCs w:val="22"/>
              </w:rPr>
              <w:t xml:space="preserve">In den Informationen nach §6 Abs. 2 </w:t>
            </w:r>
            <w:proofErr w:type="spellStart"/>
            <w:r w:rsidRPr="00B86C0C">
              <w:rPr>
                <w:rFonts w:ascii="Arial Narrow" w:hAnsi="Arial Narrow" w:cs="Arial"/>
                <w:sz w:val="22"/>
                <w:szCs w:val="22"/>
              </w:rPr>
              <w:t>KHEntgG</w:t>
            </w:r>
            <w:proofErr w:type="spellEnd"/>
            <w:r w:rsidRPr="00B86C0C">
              <w:rPr>
                <w:rFonts w:ascii="Arial Narrow" w:hAnsi="Arial Narrow" w:cs="Arial"/>
                <w:sz w:val="22"/>
                <w:szCs w:val="22"/>
              </w:rPr>
              <w:t xml:space="preserve"> für 202</w:t>
            </w:r>
            <w:r w:rsidR="007B78D6">
              <w:rPr>
                <w:rFonts w:ascii="Arial Narrow" w:hAnsi="Arial Narrow" w:cs="Arial"/>
                <w:sz w:val="22"/>
                <w:szCs w:val="22"/>
              </w:rPr>
              <w:t>5</w:t>
            </w:r>
            <w:r w:rsidRPr="00B86C0C">
              <w:rPr>
                <w:rFonts w:ascii="Arial Narrow" w:hAnsi="Arial Narrow" w:cs="Arial"/>
                <w:sz w:val="22"/>
                <w:szCs w:val="22"/>
              </w:rPr>
              <w:t xml:space="preserve"> hat </w:t>
            </w:r>
            <w:proofErr w:type="spellStart"/>
            <w:r w:rsidRPr="00B86C0C">
              <w:rPr>
                <w:rFonts w:ascii="Arial Narrow" w:hAnsi="Arial Narrow" w:cs="Arial"/>
                <w:sz w:val="22"/>
                <w:szCs w:val="22"/>
              </w:rPr>
              <w:t>Ruxolitinib</w:t>
            </w:r>
            <w:proofErr w:type="spellEnd"/>
            <w:r w:rsidRPr="00B86C0C">
              <w:rPr>
                <w:rFonts w:ascii="Arial Narrow" w:hAnsi="Arial Narrow" w:cs="Arial"/>
                <w:sz w:val="22"/>
                <w:szCs w:val="22"/>
              </w:rPr>
              <w:t xml:space="preserve"> den Status 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67B8B36C" w:rsidR="0042640C" w:rsidRPr="00B86C0C" w:rsidRDefault="008E6675" w:rsidP="00B86C0C">
            <w:pPr>
              <w:rPr>
                <w:rFonts w:ascii="Arial Narrow" w:hAnsi="Arial Narrow"/>
                <w:sz w:val="22"/>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2853FF" w14:paraId="0DF8F781" w14:textId="77777777">
        <w:tc>
          <w:tcPr>
            <w:tcW w:w="9212" w:type="dxa"/>
          </w:tcPr>
          <w:p w14:paraId="7FFC04AC" w14:textId="77777777" w:rsidR="00B86C0C" w:rsidRPr="00824675" w:rsidRDefault="00B86C0C" w:rsidP="00B86C0C">
            <w:pPr>
              <w:rPr>
                <w:rFonts w:ascii="Arial Narrow" w:hAnsi="Arial Narrow"/>
                <w:sz w:val="22"/>
                <w:lang w:val="en-US"/>
              </w:rPr>
            </w:pPr>
            <w:proofErr w:type="spellStart"/>
            <w:r w:rsidRPr="00824675">
              <w:rPr>
                <w:rFonts w:ascii="Arial Narrow" w:hAnsi="Arial Narrow"/>
                <w:sz w:val="22"/>
                <w:lang w:val="en-US"/>
              </w:rPr>
              <w:t>Myelofibrose</w:t>
            </w:r>
            <w:proofErr w:type="spellEnd"/>
            <w:r w:rsidRPr="00824675">
              <w:rPr>
                <w:rFonts w:ascii="Arial Narrow" w:hAnsi="Arial Narrow"/>
                <w:sz w:val="22"/>
                <w:lang w:val="en-US"/>
              </w:rPr>
              <w:t>: 2012</w:t>
            </w:r>
          </w:p>
          <w:p w14:paraId="024C31B3" w14:textId="77777777" w:rsidR="00B86C0C" w:rsidRPr="00824675" w:rsidRDefault="00B86C0C" w:rsidP="00B86C0C">
            <w:pPr>
              <w:rPr>
                <w:rFonts w:ascii="Arial Narrow" w:hAnsi="Arial Narrow"/>
                <w:sz w:val="22"/>
                <w:lang w:val="en-US"/>
              </w:rPr>
            </w:pPr>
            <w:proofErr w:type="spellStart"/>
            <w:r w:rsidRPr="00824675">
              <w:rPr>
                <w:rFonts w:ascii="Arial Narrow" w:hAnsi="Arial Narrow"/>
                <w:sz w:val="22"/>
                <w:lang w:val="en-US"/>
              </w:rPr>
              <w:t>Polycythaemia</w:t>
            </w:r>
            <w:proofErr w:type="spellEnd"/>
            <w:r w:rsidRPr="00824675">
              <w:rPr>
                <w:rFonts w:ascii="Arial Narrow" w:hAnsi="Arial Narrow"/>
                <w:sz w:val="22"/>
                <w:lang w:val="en-US"/>
              </w:rPr>
              <w:t xml:space="preserve"> </w:t>
            </w:r>
            <w:proofErr w:type="spellStart"/>
            <w:r w:rsidRPr="00824675">
              <w:rPr>
                <w:rFonts w:ascii="Arial Narrow" w:hAnsi="Arial Narrow"/>
                <w:sz w:val="22"/>
                <w:lang w:val="en-US"/>
              </w:rPr>
              <w:t>vera</w:t>
            </w:r>
            <w:proofErr w:type="spellEnd"/>
            <w:r w:rsidRPr="00824675">
              <w:rPr>
                <w:rFonts w:ascii="Arial Narrow" w:hAnsi="Arial Narrow"/>
                <w:sz w:val="22"/>
                <w:lang w:val="en-US"/>
              </w:rPr>
              <w:t>: 2015</w:t>
            </w:r>
          </w:p>
          <w:p w14:paraId="256E27C8" w14:textId="401B5334" w:rsidR="00D14350" w:rsidRPr="00824675" w:rsidRDefault="00B86C0C" w:rsidP="00B86C0C">
            <w:pPr>
              <w:rPr>
                <w:rFonts w:ascii="Arial Narrow" w:hAnsi="Arial Narrow"/>
                <w:color w:val="00B050"/>
                <w:sz w:val="22"/>
                <w:lang w:val="en-US"/>
              </w:rPr>
            </w:pPr>
            <w:r w:rsidRPr="00824675">
              <w:rPr>
                <w:rFonts w:ascii="Arial Narrow" w:hAnsi="Arial Narrow"/>
                <w:sz w:val="22"/>
                <w:lang w:val="en-US"/>
              </w:rPr>
              <w:t>Graft-versus-Host-Disease: 2022</w:t>
            </w:r>
          </w:p>
        </w:tc>
      </w:tr>
    </w:tbl>
    <w:p w14:paraId="233BCD28" w14:textId="77777777" w:rsidR="008E6675" w:rsidRPr="00824675" w:rsidRDefault="008E6675" w:rsidP="005638EB">
      <w:pPr>
        <w:rPr>
          <w:rFonts w:ascii="Arial Narrow" w:hAnsi="Arial Narrow"/>
          <w:sz w:val="22"/>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2853FF" w14:paraId="1264FF24" w14:textId="77777777">
        <w:tc>
          <w:tcPr>
            <w:tcW w:w="9212" w:type="dxa"/>
          </w:tcPr>
          <w:p w14:paraId="387A0EB4" w14:textId="77777777" w:rsidR="00044597" w:rsidRPr="00824675" w:rsidRDefault="00B86C0C" w:rsidP="00C112A6">
            <w:pPr>
              <w:rPr>
                <w:rFonts w:ascii="Arial Narrow" w:hAnsi="Arial Narrow" w:cs="Arial"/>
                <w:sz w:val="22"/>
                <w:szCs w:val="22"/>
                <w:shd w:val="clear" w:color="auto" w:fill="FAF9F8"/>
                <w:lang w:val="en-US"/>
              </w:rPr>
            </w:pPr>
            <w:proofErr w:type="spellStart"/>
            <w:r w:rsidRPr="00824675">
              <w:rPr>
                <w:rFonts w:ascii="Arial Narrow" w:hAnsi="Arial Narrow" w:cs="Arial"/>
                <w:sz w:val="22"/>
                <w:szCs w:val="22"/>
                <w:shd w:val="clear" w:color="auto" w:fill="FAF9F8"/>
                <w:lang w:val="en-US"/>
              </w:rPr>
              <w:t>Myelofibrose</w:t>
            </w:r>
            <w:proofErr w:type="spellEnd"/>
            <w:r w:rsidRPr="00824675">
              <w:rPr>
                <w:rFonts w:ascii="Arial Narrow" w:hAnsi="Arial Narrow" w:cs="Arial"/>
                <w:sz w:val="22"/>
                <w:szCs w:val="22"/>
                <w:shd w:val="clear" w:color="auto" w:fill="FAF9F8"/>
                <w:lang w:val="en-US"/>
              </w:rPr>
              <w:t>: 2012</w:t>
            </w:r>
          </w:p>
          <w:p w14:paraId="485127C9" w14:textId="77777777" w:rsidR="00B86C0C" w:rsidRPr="00824675" w:rsidRDefault="00B86C0C" w:rsidP="00B86C0C">
            <w:pPr>
              <w:rPr>
                <w:rFonts w:ascii="Arial Narrow" w:hAnsi="Arial Narrow"/>
                <w:color w:val="000000" w:themeColor="text1"/>
                <w:sz w:val="22"/>
                <w:lang w:val="en-US"/>
              </w:rPr>
            </w:pPr>
            <w:proofErr w:type="spellStart"/>
            <w:r w:rsidRPr="00824675">
              <w:rPr>
                <w:rFonts w:ascii="Arial Narrow" w:hAnsi="Arial Narrow"/>
                <w:color w:val="000000" w:themeColor="text1"/>
                <w:sz w:val="22"/>
                <w:lang w:val="en-US"/>
              </w:rPr>
              <w:t>Polycythaemia</w:t>
            </w:r>
            <w:proofErr w:type="spellEnd"/>
            <w:r w:rsidRPr="00824675">
              <w:rPr>
                <w:rFonts w:ascii="Arial Narrow" w:hAnsi="Arial Narrow"/>
                <w:color w:val="000000" w:themeColor="text1"/>
                <w:sz w:val="22"/>
                <w:lang w:val="en-US"/>
              </w:rPr>
              <w:t xml:space="preserve"> </w:t>
            </w:r>
            <w:proofErr w:type="spellStart"/>
            <w:r w:rsidRPr="00824675">
              <w:rPr>
                <w:rFonts w:ascii="Arial Narrow" w:hAnsi="Arial Narrow"/>
                <w:color w:val="000000" w:themeColor="text1"/>
                <w:sz w:val="22"/>
                <w:lang w:val="en-US"/>
              </w:rPr>
              <w:t>vera</w:t>
            </w:r>
            <w:proofErr w:type="spellEnd"/>
            <w:r w:rsidRPr="00824675">
              <w:rPr>
                <w:rFonts w:ascii="Arial Narrow" w:hAnsi="Arial Narrow"/>
                <w:color w:val="000000" w:themeColor="text1"/>
                <w:sz w:val="22"/>
                <w:lang w:val="en-US"/>
              </w:rPr>
              <w:t>: 2015</w:t>
            </w:r>
          </w:p>
          <w:p w14:paraId="7BB60EDC" w14:textId="6C7023A2" w:rsidR="00B86C0C" w:rsidRPr="00824675" w:rsidRDefault="00B86C0C" w:rsidP="00B86C0C">
            <w:pPr>
              <w:rPr>
                <w:rFonts w:ascii="Arial Narrow" w:hAnsi="Arial Narrow"/>
                <w:color w:val="00B050"/>
                <w:sz w:val="22"/>
                <w:lang w:val="en-US"/>
              </w:rPr>
            </w:pPr>
            <w:r w:rsidRPr="00824675">
              <w:rPr>
                <w:rFonts w:ascii="Arial Narrow" w:hAnsi="Arial Narrow"/>
                <w:color w:val="000000" w:themeColor="text1"/>
                <w:sz w:val="22"/>
                <w:lang w:val="en-US"/>
              </w:rPr>
              <w:t>Graft-versus-Host-Disease: 2022</w:t>
            </w:r>
          </w:p>
        </w:tc>
      </w:tr>
    </w:tbl>
    <w:p w14:paraId="479CCD3D" w14:textId="77777777" w:rsidR="008E6675" w:rsidRPr="00824675" w:rsidRDefault="008E6675" w:rsidP="005638EB">
      <w:pPr>
        <w:rPr>
          <w:rFonts w:ascii="Arial Narrow" w:hAnsi="Arial Narrow"/>
          <w:sz w:val="22"/>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409A36" w14:textId="5A128D87" w:rsidR="00B86C0C" w:rsidRPr="00B86C0C" w:rsidRDefault="00B86C0C" w:rsidP="007B78D6">
            <w:pPr>
              <w:rPr>
                <w:rFonts w:ascii="Arial Narrow" w:hAnsi="Arial Narrow" w:cs="Arial"/>
                <w:sz w:val="22"/>
                <w:szCs w:val="22"/>
              </w:rPr>
            </w:pPr>
            <w:proofErr w:type="spellStart"/>
            <w:r w:rsidRPr="00B86C0C">
              <w:rPr>
                <w:rFonts w:ascii="Arial Narrow" w:hAnsi="Arial Narrow" w:cs="Arial"/>
                <w:sz w:val="22"/>
                <w:szCs w:val="22"/>
              </w:rPr>
              <w:t>Ruxolitinib</w:t>
            </w:r>
            <w:proofErr w:type="spellEnd"/>
            <w:r w:rsidRPr="00B86C0C">
              <w:rPr>
                <w:rFonts w:ascii="Arial Narrow" w:hAnsi="Arial Narrow" w:cs="Arial"/>
                <w:sz w:val="22"/>
                <w:szCs w:val="22"/>
              </w:rPr>
              <w:t xml:space="preserve"> wird schätzungsweise in ca. </w:t>
            </w:r>
            <w:r w:rsidR="007B78D6">
              <w:rPr>
                <w:rFonts w:ascii="Arial Narrow" w:hAnsi="Arial Narrow" w:cs="Arial"/>
                <w:sz w:val="22"/>
                <w:szCs w:val="22"/>
              </w:rPr>
              <w:t>630</w:t>
            </w:r>
            <w:r w:rsidRPr="00B86C0C">
              <w:rPr>
                <w:rFonts w:ascii="Arial Narrow" w:hAnsi="Arial Narrow" w:cs="Arial"/>
                <w:sz w:val="22"/>
                <w:szCs w:val="22"/>
              </w:rPr>
              <w:t xml:space="preserve"> Kliniken in Deutschland eingesetzt (Schätzungen aufgrund der NUB</w:t>
            </w:r>
          </w:p>
          <w:p w14:paraId="21DD9094" w14:textId="4668C5A2" w:rsidR="00C112A6" w:rsidRPr="005638EB" w:rsidRDefault="00B86C0C" w:rsidP="00B86C0C">
            <w:pPr>
              <w:rPr>
                <w:rFonts w:ascii="Arial Narrow" w:hAnsi="Arial Narrow"/>
              </w:rPr>
            </w:pPr>
            <w:r w:rsidRPr="00B86C0C">
              <w:rPr>
                <w:rFonts w:ascii="Arial Narrow" w:hAnsi="Arial Narrow" w:cs="Arial"/>
                <w:sz w:val="22"/>
                <w:szCs w:val="22"/>
              </w:rPr>
              <w:t>Anfragen des Vorjahres).</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274825C3"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2853FF">
              <w:rPr>
                <w:rFonts w:ascii="Arial Narrow" w:hAnsi="Arial Narrow"/>
                <w:b/>
                <w:sz w:val="22"/>
              </w:rPr>
              <w:t>4</w:t>
            </w:r>
            <w:r w:rsidR="000953D2">
              <w:rPr>
                <w:rFonts w:ascii="Arial Narrow" w:hAnsi="Arial Narrow"/>
                <w:b/>
                <w:sz w:val="22"/>
              </w:rPr>
              <w:t xml:space="preserve"> oder in 202</w:t>
            </w:r>
            <w:r w:rsidR="002853FF">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15DD7C44"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2853FF">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6CF4E8AF"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2853FF">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0A8F7352"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2853FF">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57AB3BF4" w14:textId="77777777" w:rsidR="004B71EB" w:rsidRPr="00686CAF" w:rsidRDefault="004B71EB" w:rsidP="004B71EB">
            <w:pPr>
              <w:autoSpaceDE w:val="0"/>
              <w:autoSpaceDN w:val="0"/>
              <w:adjustRightInd w:val="0"/>
              <w:jc w:val="both"/>
              <w:rPr>
                <w:rFonts w:ascii="Arial Narrow" w:hAnsi="Arial Narrow" w:cs="Arial"/>
                <w:b/>
                <w:bCs/>
                <w:sz w:val="22"/>
                <w:szCs w:val="22"/>
              </w:rPr>
            </w:pPr>
            <w:r w:rsidRPr="00686CAF">
              <w:rPr>
                <w:rFonts w:ascii="Arial Narrow" w:hAnsi="Arial Narrow" w:cs="Arial"/>
                <w:b/>
                <w:bCs/>
                <w:sz w:val="22"/>
                <w:szCs w:val="22"/>
              </w:rPr>
              <w:t xml:space="preserve">Sachkosten: </w:t>
            </w:r>
          </w:p>
          <w:p w14:paraId="4A008EAC" w14:textId="77777777" w:rsidR="00ED3724" w:rsidRPr="00ED3724" w:rsidRDefault="00ED3724" w:rsidP="00ED3724">
            <w:pPr>
              <w:autoSpaceDE w:val="0"/>
              <w:autoSpaceDN w:val="0"/>
              <w:adjustRightInd w:val="0"/>
              <w:jc w:val="both"/>
              <w:rPr>
                <w:rFonts w:ascii="Arial Narrow" w:hAnsi="Arial Narrow" w:cs="Arial"/>
                <w:sz w:val="22"/>
                <w:szCs w:val="22"/>
              </w:rPr>
            </w:pPr>
            <w:r w:rsidRPr="00ED3724">
              <w:rPr>
                <w:rFonts w:ascii="Arial Narrow" w:hAnsi="Arial Narrow" w:cs="Arial"/>
                <w:sz w:val="22"/>
                <w:szCs w:val="22"/>
              </w:rPr>
              <w:t xml:space="preserve">Die empfohlene Dosierung von </w:t>
            </w:r>
            <w:proofErr w:type="spellStart"/>
            <w:r w:rsidRPr="00ED3724">
              <w:rPr>
                <w:rFonts w:ascii="Arial Narrow" w:hAnsi="Arial Narrow" w:cs="Arial"/>
                <w:sz w:val="22"/>
                <w:szCs w:val="22"/>
              </w:rPr>
              <w:t>Ruxolitinib</w:t>
            </w:r>
            <w:proofErr w:type="spellEnd"/>
            <w:r w:rsidRPr="00ED3724">
              <w:rPr>
                <w:rFonts w:ascii="Arial Narrow" w:hAnsi="Arial Narrow" w:cs="Arial"/>
                <w:sz w:val="22"/>
                <w:szCs w:val="22"/>
              </w:rPr>
              <w:t xml:space="preserve"> beträgt zweimal täglich 5 mg bis zu 25 mg.</w:t>
            </w:r>
          </w:p>
          <w:p w14:paraId="126E46F6" w14:textId="51752BBF" w:rsidR="00ED3724" w:rsidRPr="00ED3724" w:rsidRDefault="00ED3724" w:rsidP="007B78D6">
            <w:pPr>
              <w:autoSpaceDE w:val="0"/>
              <w:autoSpaceDN w:val="0"/>
              <w:adjustRightInd w:val="0"/>
              <w:jc w:val="both"/>
              <w:rPr>
                <w:rFonts w:ascii="Arial Narrow" w:hAnsi="Arial Narrow" w:cs="Arial"/>
                <w:sz w:val="22"/>
                <w:szCs w:val="22"/>
              </w:rPr>
            </w:pPr>
            <w:r w:rsidRPr="00ED3724">
              <w:rPr>
                <w:rFonts w:ascii="Arial Narrow" w:hAnsi="Arial Narrow" w:cs="Arial"/>
                <w:sz w:val="22"/>
                <w:szCs w:val="22"/>
              </w:rPr>
              <w:t>Der Preis pro Packung (N2) beträgt 3.953,87€ € bei 56 Tabletten zu 20 mg, 15 mg oder 10 mg. 2.005,76 € bei 56 Tabletten zu 5 mg</w:t>
            </w:r>
            <w:r>
              <w:rPr>
                <w:rFonts w:ascii="Arial Narrow" w:hAnsi="Arial Narrow" w:cs="Arial"/>
                <w:sz w:val="22"/>
                <w:szCs w:val="22"/>
              </w:rPr>
              <w:t xml:space="preserve"> </w:t>
            </w:r>
            <w:r w:rsidRPr="00ED3724">
              <w:rPr>
                <w:rFonts w:ascii="Arial Narrow" w:hAnsi="Arial Narrow" w:cs="Arial"/>
                <w:sz w:val="22"/>
                <w:szCs w:val="22"/>
              </w:rPr>
              <w:t xml:space="preserve">(laut Rote Liste inkl. </w:t>
            </w:r>
            <w:proofErr w:type="spellStart"/>
            <w:r w:rsidRPr="00ED3724">
              <w:rPr>
                <w:rFonts w:ascii="Arial Narrow" w:hAnsi="Arial Narrow" w:cs="Arial"/>
                <w:sz w:val="22"/>
                <w:szCs w:val="22"/>
              </w:rPr>
              <w:t>MWSt</w:t>
            </w:r>
            <w:proofErr w:type="spellEnd"/>
            <w:r w:rsidRPr="00ED3724">
              <w:rPr>
                <w:rFonts w:ascii="Arial Narrow" w:hAnsi="Arial Narrow" w:cs="Arial"/>
                <w:sz w:val="22"/>
                <w:szCs w:val="22"/>
              </w:rPr>
              <w:t xml:space="preserve">, AVP(EB) Preis Stand </w:t>
            </w:r>
            <w:r w:rsidR="007B78D6">
              <w:rPr>
                <w:rFonts w:ascii="Arial Narrow" w:hAnsi="Arial Narrow" w:cs="Arial"/>
                <w:sz w:val="22"/>
                <w:szCs w:val="22"/>
              </w:rPr>
              <w:t>29.07.2025</w:t>
            </w:r>
            <w:r w:rsidRPr="00ED3724">
              <w:rPr>
                <w:rFonts w:ascii="Arial Narrow" w:hAnsi="Arial Narrow" w:cs="Arial"/>
                <w:sz w:val="22"/>
                <w:szCs w:val="22"/>
              </w:rPr>
              <w:t>)</w:t>
            </w:r>
            <w:r>
              <w:rPr>
                <w:rFonts w:ascii="Arial Narrow" w:hAnsi="Arial Narrow" w:cs="Arial"/>
                <w:sz w:val="22"/>
                <w:szCs w:val="22"/>
              </w:rPr>
              <w:t>.</w:t>
            </w:r>
          </w:p>
          <w:p w14:paraId="009F7DA3" w14:textId="5DD00333" w:rsidR="00ED3724" w:rsidRDefault="00ED3724" w:rsidP="00B86C0C">
            <w:pPr>
              <w:autoSpaceDE w:val="0"/>
              <w:autoSpaceDN w:val="0"/>
              <w:adjustRightInd w:val="0"/>
              <w:jc w:val="both"/>
              <w:rPr>
                <w:rFonts w:ascii="Arial Narrow" w:hAnsi="Arial Narrow" w:cs="Arial"/>
                <w:b/>
                <w:bCs/>
                <w:sz w:val="22"/>
                <w:szCs w:val="22"/>
              </w:rPr>
            </w:pPr>
            <w:r w:rsidRPr="00ED3724">
              <w:rPr>
                <w:rFonts w:ascii="Arial Narrow" w:hAnsi="Arial Narrow" w:cs="Arial"/>
                <w:sz w:val="22"/>
                <w:szCs w:val="22"/>
              </w:rPr>
              <w:t>Daraus ergeben sich Tagestherapiekosten von 71,63 € bis zu 212,84 €, bzw. 501,44 € bis zu 1.482,70 € bei einer angenommenen Verweildauer von 7 Tagen</w:t>
            </w:r>
            <w:r>
              <w:rPr>
                <w:rFonts w:ascii="Arial Narrow" w:hAnsi="Arial Narrow" w:cs="Arial"/>
                <w:sz w:val="22"/>
                <w:szCs w:val="22"/>
              </w:rPr>
              <w:t>.</w:t>
            </w:r>
          </w:p>
          <w:p w14:paraId="758BE7C4" w14:textId="77777777" w:rsidR="00ED3724" w:rsidRDefault="00ED3724" w:rsidP="00B86C0C">
            <w:pPr>
              <w:autoSpaceDE w:val="0"/>
              <w:autoSpaceDN w:val="0"/>
              <w:adjustRightInd w:val="0"/>
              <w:jc w:val="both"/>
              <w:rPr>
                <w:rFonts w:ascii="Arial Narrow" w:hAnsi="Arial Narrow" w:cs="Arial"/>
                <w:b/>
                <w:bCs/>
                <w:sz w:val="22"/>
                <w:szCs w:val="22"/>
              </w:rPr>
            </w:pPr>
          </w:p>
          <w:p w14:paraId="190E57A9" w14:textId="2BD716A1" w:rsidR="00B86C0C" w:rsidRPr="00B86C0C" w:rsidRDefault="00B86C0C" w:rsidP="00B86C0C">
            <w:pPr>
              <w:autoSpaceDE w:val="0"/>
              <w:autoSpaceDN w:val="0"/>
              <w:adjustRightInd w:val="0"/>
              <w:jc w:val="both"/>
              <w:rPr>
                <w:rFonts w:ascii="Arial Narrow" w:hAnsi="Arial Narrow" w:cs="Arial"/>
                <w:b/>
                <w:bCs/>
                <w:sz w:val="22"/>
                <w:szCs w:val="22"/>
              </w:rPr>
            </w:pPr>
            <w:r w:rsidRPr="00B86C0C">
              <w:rPr>
                <w:rFonts w:ascii="Arial Narrow" w:hAnsi="Arial Narrow" w:cs="Arial"/>
                <w:b/>
                <w:bCs/>
                <w:sz w:val="22"/>
                <w:szCs w:val="22"/>
              </w:rPr>
              <w:t>Personalkosten:</w:t>
            </w:r>
          </w:p>
          <w:p w14:paraId="5645B3DA" w14:textId="1814BC7A" w:rsidR="00B86C0C" w:rsidRDefault="00B86C0C" w:rsidP="00B86C0C">
            <w:pPr>
              <w:autoSpaceDE w:val="0"/>
              <w:autoSpaceDN w:val="0"/>
              <w:adjustRightInd w:val="0"/>
              <w:jc w:val="both"/>
              <w:rPr>
                <w:rFonts w:ascii="Arial Narrow" w:hAnsi="Arial Narrow" w:cs="Arial"/>
                <w:sz w:val="22"/>
                <w:szCs w:val="22"/>
              </w:rPr>
            </w:pPr>
            <w:r w:rsidRPr="00B86C0C">
              <w:rPr>
                <w:rFonts w:ascii="Arial Narrow" w:hAnsi="Arial Narrow" w:cs="Arial"/>
                <w:sz w:val="22"/>
                <w:szCs w:val="22"/>
              </w:rPr>
              <w:t>Bei oraler Gabe entsteht kein zusätzlicher Personalaufwand.</w:t>
            </w:r>
          </w:p>
          <w:p w14:paraId="6E8F4BD7" w14:textId="77777777" w:rsidR="00ED3724" w:rsidRPr="00B86C0C" w:rsidRDefault="00ED3724" w:rsidP="00B86C0C">
            <w:pPr>
              <w:autoSpaceDE w:val="0"/>
              <w:autoSpaceDN w:val="0"/>
              <w:adjustRightInd w:val="0"/>
              <w:jc w:val="both"/>
              <w:rPr>
                <w:rFonts w:ascii="Arial Narrow" w:hAnsi="Arial Narrow" w:cs="Arial"/>
                <w:sz w:val="22"/>
                <w:szCs w:val="22"/>
              </w:rPr>
            </w:pPr>
          </w:p>
          <w:p w14:paraId="4B119AA5" w14:textId="77777777" w:rsidR="00B86C0C" w:rsidRPr="00B86C0C" w:rsidRDefault="00B86C0C" w:rsidP="00B86C0C">
            <w:pPr>
              <w:autoSpaceDE w:val="0"/>
              <w:autoSpaceDN w:val="0"/>
              <w:adjustRightInd w:val="0"/>
              <w:jc w:val="both"/>
              <w:rPr>
                <w:rFonts w:ascii="Arial Narrow" w:hAnsi="Arial Narrow" w:cs="Arial"/>
                <w:sz w:val="22"/>
                <w:szCs w:val="22"/>
              </w:rPr>
            </w:pPr>
            <w:r w:rsidRPr="00B86C0C">
              <w:rPr>
                <w:rFonts w:ascii="Arial Narrow" w:hAnsi="Arial Narrow" w:cs="Arial"/>
                <w:sz w:val="22"/>
                <w:szCs w:val="22"/>
              </w:rPr>
              <w:t xml:space="preserve">Da das Medikament eine orale Dauertherapie ist, geschieht es eher selten, dass ein Patient für diese orale Gabe </w:t>
            </w:r>
          </w:p>
          <w:p w14:paraId="7D668DB8" w14:textId="77777777" w:rsidR="00B86C0C" w:rsidRPr="00B86C0C" w:rsidRDefault="00B86C0C" w:rsidP="00B86C0C">
            <w:pPr>
              <w:autoSpaceDE w:val="0"/>
              <w:autoSpaceDN w:val="0"/>
              <w:adjustRightInd w:val="0"/>
              <w:jc w:val="both"/>
              <w:rPr>
                <w:rFonts w:ascii="Arial Narrow" w:hAnsi="Arial Narrow" w:cs="Arial"/>
                <w:sz w:val="22"/>
                <w:szCs w:val="22"/>
              </w:rPr>
            </w:pPr>
            <w:r w:rsidRPr="00B86C0C">
              <w:rPr>
                <w:rFonts w:ascii="Arial Narrow" w:hAnsi="Arial Narrow" w:cs="Arial"/>
                <w:sz w:val="22"/>
                <w:szCs w:val="22"/>
              </w:rPr>
              <w:t>stationär behandelt wird und somit in eine organspezifische DRG gruppiert wird. Es kommt sehr viel häufiger vor,</w:t>
            </w:r>
          </w:p>
          <w:p w14:paraId="6257CD9E" w14:textId="77777777" w:rsidR="00B86C0C" w:rsidRPr="00B86C0C" w:rsidRDefault="00B86C0C" w:rsidP="00B86C0C">
            <w:pPr>
              <w:autoSpaceDE w:val="0"/>
              <w:autoSpaceDN w:val="0"/>
              <w:adjustRightInd w:val="0"/>
              <w:jc w:val="both"/>
              <w:rPr>
                <w:rFonts w:ascii="Arial Narrow" w:hAnsi="Arial Narrow" w:cs="Arial"/>
                <w:sz w:val="22"/>
                <w:szCs w:val="22"/>
              </w:rPr>
            </w:pPr>
            <w:r w:rsidRPr="00B86C0C">
              <w:rPr>
                <w:rFonts w:ascii="Arial Narrow" w:hAnsi="Arial Narrow" w:cs="Arial"/>
                <w:sz w:val="22"/>
                <w:szCs w:val="22"/>
              </w:rPr>
              <w:t xml:space="preserve">dass der Patient wegen einer anderen Erkrankung aufgenommen wird und dieses Medikament als seine </w:t>
            </w:r>
          </w:p>
          <w:p w14:paraId="5D781750" w14:textId="77777777" w:rsidR="00B86C0C" w:rsidRPr="00B86C0C" w:rsidRDefault="00B86C0C" w:rsidP="00B86C0C">
            <w:pPr>
              <w:autoSpaceDE w:val="0"/>
              <w:autoSpaceDN w:val="0"/>
              <w:adjustRightInd w:val="0"/>
              <w:jc w:val="both"/>
              <w:rPr>
                <w:rFonts w:ascii="Arial Narrow" w:hAnsi="Arial Narrow" w:cs="Arial"/>
                <w:sz w:val="22"/>
                <w:szCs w:val="22"/>
              </w:rPr>
            </w:pPr>
            <w:r w:rsidRPr="00B86C0C">
              <w:rPr>
                <w:rFonts w:ascii="Arial Narrow" w:hAnsi="Arial Narrow" w:cs="Arial"/>
                <w:sz w:val="22"/>
                <w:szCs w:val="22"/>
              </w:rPr>
              <w:t xml:space="preserve">Dauermedikation weiter erhält. Die Kosten für dieses Medikament können daher in vielen DRGs vorkommen und </w:t>
            </w:r>
          </w:p>
          <w:p w14:paraId="7D03D20B" w14:textId="63234DFF" w:rsidR="00156FE0" w:rsidRPr="001774E7" w:rsidRDefault="00B86C0C" w:rsidP="00B86C0C">
            <w:pPr>
              <w:rPr>
                <w:rFonts w:ascii="Arial Narrow" w:hAnsi="Arial Narrow"/>
                <w:color w:val="548DD4" w:themeColor="text2" w:themeTint="99"/>
              </w:rPr>
            </w:pPr>
            <w:r w:rsidRPr="00B86C0C">
              <w:rPr>
                <w:rFonts w:ascii="Arial Narrow" w:hAnsi="Arial Narrow" w:cs="Arial"/>
                <w:sz w:val="22"/>
                <w:szCs w:val="22"/>
              </w:rPr>
              <w:t>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lastRenderedPageBreak/>
              <w:t>Welche DRG(s) ist/sind am häufigsten von dieser Methode betroffen?</w:t>
            </w:r>
          </w:p>
        </w:tc>
      </w:tr>
      <w:tr w:rsidR="008E6675" w:rsidRPr="007B78D6" w14:paraId="56F9F66E" w14:textId="77777777">
        <w:tc>
          <w:tcPr>
            <w:tcW w:w="9212" w:type="dxa"/>
          </w:tcPr>
          <w:p w14:paraId="5EFF643A"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A61C</w:t>
            </w:r>
          </w:p>
          <w:p w14:paraId="06B4F923"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A36B</w:t>
            </w:r>
          </w:p>
          <w:p w14:paraId="67C6750D"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R61H</w:t>
            </w:r>
          </w:p>
          <w:p w14:paraId="43855C8C"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A61A</w:t>
            </w:r>
          </w:p>
          <w:p w14:paraId="6E3C451E"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A04E</w:t>
            </w:r>
          </w:p>
          <w:p w14:paraId="19347D12"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A61B</w:t>
            </w:r>
          </w:p>
          <w:p w14:paraId="0DAEE80B"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E79C</w:t>
            </w:r>
          </w:p>
          <w:p w14:paraId="0A08B2EF"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E77D</w:t>
            </w:r>
          </w:p>
          <w:p w14:paraId="0AC53280"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A04D</w:t>
            </w:r>
          </w:p>
          <w:p w14:paraId="4A2F0A67"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F62C</w:t>
            </w:r>
          </w:p>
          <w:p w14:paraId="09AEEA36"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R61D</w:t>
            </w:r>
          </w:p>
          <w:p w14:paraId="165BD676"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R65Z</w:t>
            </w:r>
          </w:p>
          <w:p w14:paraId="5C3F3339" w14:textId="77777777" w:rsidR="007B78D6" w:rsidRPr="007B78D6" w:rsidRDefault="007B78D6" w:rsidP="007B78D6">
            <w:pPr>
              <w:rPr>
                <w:rFonts w:ascii="Arial Narrow" w:hAnsi="Arial Narrow" w:cs="Arial"/>
                <w:sz w:val="22"/>
                <w:szCs w:val="22"/>
                <w:lang w:val="es-ES"/>
              </w:rPr>
            </w:pPr>
            <w:r w:rsidRPr="007B78D6">
              <w:rPr>
                <w:rFonts w:ascii="Arial Narrow" w:hAnsi="Arial Narrow" w:cs="Arial"/>
                <w:sz w:val="22"/>
                <w:szCs w:val="22"/>
                <w:lang w:val="es-ES"/>
              </w:rPr>
              <w:t>R61G</w:t>
            </w:r>
          </w:p>
          <w:p w14:paraId="3FDE8751" w14:textId="7F9D010C" w:rsidR="003B3FB7" w:rsidRPr="00231CBC" w:rsidRDefault="007B78D6" w:rsidP="007B78D6">
            <w:pPr>
              <w:rPr>
                <w:rFonts w:ascii="Arial Narrow" w:hAnsi="Arial Narrow" w:cs="Arial"/>
                <w:sz w:val="22"/>
                <w:szCs w:val="22"/>
                <w:lang w:val="es-ES"/>
              </w:rPr>
            </w:pPr>
            <w:r w:rsidRPr="007B78D6">
              <w:rPr>
                <w:rFonts w:ascii="Arial Narrow" w:hAnsi="Arial Narrow" w:cs="Arial"/>
                <w:sz w:val="22"/>
                <w:szCs w:val="22"/>
                <w:lang w:val="es-ES"/>
              </w:rPr>
              <w:t>R60D</w:t>
            </w:r>
          </w:p>
        </w:tc>
      </w:tr>
    </w:tbl>
    <w:p w14:paraId="4E6FC927" w14:textId="77777777" w:rsidR="008E6675" w:rsidRPr="00231CBC" w:rsidRDefault="008E6675" w:rsidP="005638EB">
      <w:pPr>
        <w:rPr>
          <w:rFonts w:ascii="Arial Narrow" w:hAnsi="Arial Narrow"/>
          <w:b/>
          <w:lang w:val="es-ES"/>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rsidTr="004B71EB">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4B71EB" w:rsidRPr="00ED4386" w14:paraId="3100E4A7" w14:textId="77777777" w:rsidTr="004B71EB">
        <w:tc>
          <w:tcPr>
            <w:tcW w:w="9212" w:type="dxa"/>
          </w:tcPr>
          <w:p w14:paraId="2B860AA6" w14:textId="77777777" w:rsidR="00B86C0C" w:rsidRPr="00B86C0C" w:rsidRDefault="00B86C0C" w:rsidP="00B86C0C">
            <w:pPr>
              <w:rPr>
                <w:rFonts w:ascii="Arial Narrow" w:hAnsi="Arial Narrow" w:cs="Arial"/>
                <w:sz w:val="22"/>
                <w:szCs w:val="22"/>
              </w:rPr>
            </w:pPr>
            <w:proofErr w:type="spellStart"/>
            <w:r w:rsidRPr="00B86C0C">
              <w:rPr>
                <w:rFonts w:ascii="Arial Narrow" w:hAnsi="Arial Narrow" w:cs="Arial"/>
                <w:sz w:val="22"/>
                <w:szCs w:val="22"/>
              </w:rPr>
              <w:t>Ruxolitinib</w:t>
            </w:r>
            <w:proofErr w:type="spellEnd"/>
            <w:r w:rsidRPr="00B86C0C">
              <w:rPr>
                <w:rFonts w:ascii="Arial Narrow" w:hAnsi="Arial Narrow" w:cs="Arial"/>
                <w:sz w:val="22"/>
                <w:szCs w:val="22"/>
              </w:rPr>
              <w:t xml:space="preserve"> wurde im Jahr 2012 zugelassen und ist seit dem Jahr 2012 in Deutschland auf dem Markt.</w:t>
            </w:r>
          </w:p>
          <w:p w14:paraId="505357A6" w14:textId="00A06671" w:rsidR="00B86C0C" w:rsidRPr="00B86C0C" w:rsidRDefault="00B86C0C" w:rsidP="00B86C0C">
            <w:pPr>
              <w:rPr>
                <w:rFonts w:ascii="Arial Narrow" w:hAnsi="Arial Narrow" w:cs="Arial"/>
                <w:sz w:val="22"/>
                <w:szCs w:val="22"/>
              </w:rPr>
            </w:pPr>
            <w:r w:rsidRPr="00B86C0C">
              <w:rPr>
                <w:rFonts w:ascii="Arial Narrow" w:hAnsi="Arial Narrow" w:cs="Arial"/>
                <w:sz w:val="22"/>
                <w:szCs w:val="22"/>
              </w:rPr>
              <w:t>Für das Datenjahr 202</w:t>
            </w:r>
            <w:r w:rsidR="007B78D6">
              <w:rPr>
                <w:rFonts w:ascii="Arial Narrow" w:hAnsi="Arial Narrow" w:cs="Arial"/>
                <w:sz w:val="22"/>
                <w:szCs w:val="22"/>
              </w:rPr>
              <w:t>4</w:t>
            </w:r>
            <w:r w:rsidRPr="00B86C0C">
              <w:rPr>
                <w:rFonts w:ascii="Arial Narrow" w:hAnsi="Arial Narrow" w:cs="Arial"/>
                <w:sz w:val="22"/>
                <w:szCs w:val="22"/>
              </w:rPr>
              <w:t xml:space="preserve"> sollten aus den Kalkulationshäusern Kostendaten für den Einsatz vorliegen. </w:t>
            </w:r>
          </w:p>
          <w:p w14:paraId="1269657D" w14:textId="61B4008B" w:rsidR="00B86C0C" w:rsidRPr="00B86C0C" w:rsidRDefault="00B86C0C" w:rsidP="00B86C0C">
            <w:pPr>
              <w:rPr>
                <w:rFonts w:ascii="Arial Narrow" w:hAnsi="Arial Narrow" w:cs="Arial"/>
                <w:sz w:val="22"/>
                <w:szCs w:val="22"/>
              </w:rPr>
            </w:pPr>
            <w:r w:rsidRPr="00B86C0C">
              <w:rPr>
                <w:rFonts w:ascii="Arial Narrow" w:hAnsi="Arial Narrow" w:cs="Arial"/>
                <w:sz w:val="22"/>
                <w:szCs w:val="22"/>
              </w:rPr>
              <w:t>Wir vermuten, dass die Stichprobe für Patienten mit MF oder PV jedoch zu klein war, als dass genügend Kosten</w:t>
            </w:r>
            <w:r w:rsidR="007B78D6">
              <w:rPr>
                <w:rFonts w:ascii="Arial Narrow" w:hAnsi="Arial Narrow" w:cs="Arial"/>
                <w:sz w:val="22"/>
                <w:szCs w:val="22"/>
              </w:rPr>
              <w:t xml:space="preserve">- </w:t>
            </w:r>
            <w:r w:rsidRPr="00B86C0C">
              <w:rPr>
                <w:rFonts w:ascii="Arial Narrow" w:hAnsi="Arial Narrow" w:cs="Arial"/>
                <w:sz w:val="22"/>
                <w:szCs w:val="22"/>
              </w:rPr>
              <w:t>und Leistungsinformationen aus den Krankenhäusern vorliegen, um damit eine sachgerechte Abbildung im G-DRG System 202</w:t>
            </w:r>
            <w:r w:rsidR="007B78D6">
              <w:rPr>
                <w:rFonts w:ascii="Arial Narrow" w:hAnsi="Arial Narrow" w:cs="Arial"/>
                <w:sz w:val="22"/>
                <w:szCs w:val="22"/>
              </w:rPr>
              <w:t>6</w:t>
            </w:r>
            <w:r w:rsidRPr="00B86C0C">
              <w:rPr>
                <w:rFonts w:ascii="Arial Narrow" w:hAnsi="Arial Narrow" w:cs="Arial"/>
                <w:sz w:val="22"/>
                <w:szCs w:val="22"/>
              </w:rPr>
              <w:t xml:space="preserve"> zu ermöglichen. </w:t>
            </w:r>
          </w:p>
          <w:p w14:paraId="70672427" w14:textId="5406B46B" w:rsidR="00B86C0C" w:rsidRPr="00B86C0C" w:rsidRDefault="00B86C0C" w:rsidP="00B86C0C">
            <w:pPr>
              <w:rPr>
                <w:rFonts w:ascii="Arial Narrow" w:hAnsi="Arial Narrow" w:cs="Arial"/>
                <w:sz w:val="22"/>
                <w:szCs w:val="22"/>
              </w:rPr>
            </w:pPr>
            <w:r w:rsidRPr="00B86C0C">
              <w:rPr>
                <w:rFonts w:ascii="Arial Narrow" w:hAnsi="Arial Narrow" w:cs="Arial"/>
                <w:sz w:val="22"/>
                <w:szCs w:val="22"/>
              </w:rPr>
              <w:t>Die zusätzlichen Kosten von bis zu ca.</w:t>
            </w:r>
            <w:r w:rsidR="007B78D6">
              <w:rPr>
                <w:rFonts w:ascii="Arial Narrow" w:hAnsi="Arial Narrow" w:cs="Arial"/>
                <w:sz w:val="22"/>
                <w:szCs w:val="22"/>
              </w:rPr>
              <w:t xml:space="preserve"> 212</w:t>
            </w:r>
            <w:r w:rsidRPr="00B86C0C">
              <w:rPr>
                <w:rFonts w:ascii="Arial Narrow" w:hAnsi="Arial Narrow" w:cs="Arial"/>
                <w:sz w:val="22"/>
                <w:szCs w:val="22"/>
              </w:rPr>
              <w:t xml:space="preserve"> € pro Tag können aber mit der/den o.g. Fallpauschale(n) allein nicht </w:t>
            </w:r>
          </w:p>
          <w:p w14:paraId="3FE2F1C4" w14:textId="77777777" w:rsidR="00B86C0C" w:rsidRPr="00B86C0C" w:rsidRDefault="00B86C0C" w:rsidP="00B86C0C">
            <w:pPr>
              <w:rPr>
                <w:rFonts w:ascii="Arial Narrow" w:hAnsi="Arial Narrow" w:cs="Arial"/>
                <w:sz w:val="22"/>
                <w:szCs w:val="22"/>
              </w:rPr>
            </w:pPr>
            <w:r w:rsidRPr="00B86C0C">
              <w:rPr>
                <w:rFonts w:ascii="Arial Narrow" w:hAnsi="Arial Narrow" w:cs="Arial"/>
                <w:sz w:val="22"/>
                <w:szCs w:val="22"/>
              </w:rPr>
              <w:t xml:space="preserve">ausreichend abgebildet werden und </w:t>
            </w:r>
            <w:proofErr w:type="spellStart"/>
            <w:r w:rsidRPr="00B86C0C">
              <w:rPr>
                <w:rFonts w:ascii="Arial Narrow" w:hAnsi="Arial Narrow" w:cs="Arial"/>
                <w:sz w:val="22"/>
                <w:szCs w:val="22"/>
              </w:rPr>
              <w:t>Ruxolitinib</w:t>
            </w:r>
            <w:proofErr w:type="spellEnd"/>
            <w:r w:rsidRPr="00B86C0C">
              <w:rPr>
                <w:rFonts w:ascii="Arial Narrow" w:hAnsi="Arial Narrow" w:cs="Arial"/>
                <w:sz w:val="22"/>
                <w:szCs w:val="22"/>
              </w:rPr>
              <w:t xml:space="preserve"> ist bisher im ZE-Katalog nicht enthalten.</w:t>
            </w:r>
          </w:p>
          <w:p w14:paraId="222643B9" w14:textId="54163062" w:rsidR="004B71EB" w:rsidRPr="00ED4386" w:rsidRDefault="00B86C0C" w:rsidP="00B86C0C">
            <w:pPr>
              <w:rPr>
                <w:rFonts w:ascii="Arial Narrow" w:hAnsi="Arial Narrow"/>
                <w:sz w:val="22"/>
              </w:rPr>
            </w:pPr>
            <w:r w:rsidRPr="00B86C0C">
              <w:rPr>
                <w:rFonts w:ascii="Arial Narrow" w:hAnsi="Arial Narrow" w:cs="Arial"/>
                <w:sz w:val="22"/>
                <w:szCs w:val="22"/>
              </w:rPr>
              <w:t>Aufgrund der hohen Kosten des Medikaments kommt es zu einer Unterfinanzierung in der/den betroffenen DRG</w:t>
            </w:r>
            <w:r>
              <w:rPr>
                <w:rFonts w:ascii="Arial Narrow" w:hAnsi="Arial Narrow" w:cs="Arial"/>
                <w:sz w:val="22"/>
                <w:szCs w:val="22"/>
              </w:rPr>
              <w:t>.</w:t>
            </w:r>
            <w:r w:rsidR="004B71EB" w:rsidRPr="00686CAF">
              <w:rPr>
                <w:rFonts w:ascii="Arial Narrow" w:hAnsi="Arial Narrow" w:cs="Arial"/>
                <w:sz w:val="22"/>
                <w:szCs w:val="22"/>
              </w:rPr>
              <w:t>.</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A683" w14:textId="77777777" w:rsidR="00EA0131" w:rsidRDefault="00EA0131">
      <w:r>
        <w:separator/>
      </w:r>
    </w:p>
  </w:endnote>
  <w:endnote w:type="continuationSeparator" w:id="0">
    <w:p w14:paraId="10FF2B18" w14:textId="77777777" w:rsidR="00EA0131" w:rsidRDefault="00EA0131">
      <w:r>
        <w:continuationSeparator/>
      </w:r>
    </w:p>
  </w:endnote>
  <w:endnote w:type="continuationNotice" w:id="1">
    <w:p w14:paraId="2E0BD00F" w14:textId="77777777" w:rsidR="00EA0131" w:rsidRDefault="00EA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altName w:val="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6FF2" w14:textId="77777777" w:rsidR="007B78D6" w:rsidRDefault="007B78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sz w:val="20"/>
        <w:szCs w:val="20"/>
      </w:rPr>
      <w:id w:val="-189523122"/>
      <w:docPartObj>
        <w:docPartGallery w:val="Page Numbers (Bottom of Page)"/>
        <w:docPartUnique/>
      </w:docPartObj>
    </w:sdtPr>
    <w:sdtEndPr/>
    <w:sdtContent>
      <w:p w14:paraId="2FE81AED" w14:textId="77777777" w:rsidR="00F7141A" w:rsidRPr="00F7141A" w:rsidRDefault="00F7141A" w:rsidP="0095172A">
        <w:pPr>
          <w:pStyle w:val="Fuzeile"/>
          <w:rPr>
            <w:rFonts w:ascii="Arial Narrow" w:hAnsi="Arial Narrow"/>
            <w:sz w:val="22"/>
            <w:szCs w:val="22"/>
          </w:rPr>
        </w:pPr>
        <w:r w:rsidRPr="00F7141A">
          <w:rPr>
            <w:rFonts w:ascii="Arial Narrow" w:hAnsi="Arial Narrow"/>
            <w:sz w:val="22"/>
            <w:szCs w:val="22"/>
          </w:rPr>
          <w:t xml:space="preserve">NUB-Musteranfrage </w:t>
        </w:r>
        <w:proofErr w:type="spellStart"/>
        <w:r w:rsidRPr="00F7141A">
          <w:rPr>
            <w:rFonts w:ascii="Arial Narrow" w:hAnsi="Arial Narrow"/>
            <w:sz w:val="22"/>
            <w:szCs w:val="22"/>
          </w:rPr>
          <w:t>Ruxolitinib</w:t>
        </w:r>
        <w:proofErr w:type="spellEnd"/>
      </w:p>
      <w:p w14:paraId="51E57C39" w14:textId="3B291623" w:rsidR="007B78D6" w:rsidRPr="007B78D6" w:rsidRDefault="007B78D6" w:rsidP="007B78D6">
        <w:pPr>
          <w:pStyle w:val="Fuzeile"/>
          <w:rPr>
            <w:rStyle w:val="Hyperlink"/>
            <w:rFonts w:ascii="Arial Narrow" w:hAnsi="Arial Narrow"/>
            <w:sz w:val="22"/>
            <w:szCs w:val="22"/>
          </w:rPr>
        </w:pPr>
        <w:r w:rsidRPr="007B78D6">
          <w:rPr>
            <w:rStyle w:val="Hyperlink"/>
            <w:rFonts w:ascii="Arial Narrow" w:hAnsi="Arial Narrow"/>
            <w:sz w:val="22"/>
            <w:szCs w:val="22"/>
          </w:rPr>
          <w:t>Arbeitskreis DRG und Gesundheitsökonomie der Deutschen Gesellschaft f</w:t>
        </w:r>
        <w:r>
          <w:rPr>
            <w:rStyle w:val="Hyperlink"/>
            <w:rFonts w:ascii="Arial Narrow" w:hAnsi="Arial Narrow"/>
            <w:sz w:val="22"/>
            <w:szCs w:val="22"/>
          </w:rPr>
          <w:t xml:space="preserve">ür Hämatologie und medizinische </w:t>
        </w:r>
        <w:r w:rsidRPr="007B78D6">
          <w:rPr>
            <w:rStyle w:val="Hyperlink"/>
            <w:rFonts w:ascii="Arial Narrow" w:hAnsi="Arial Narrow"/>
            <w:sz w:val="22"/>
            <w:szCs w:val="22"/>
          </w:rPr>
          <w:t>Onkologie e.V.</w:t>
        </w:r>
      </w:p>
      <w:p w14:paraId="6BDB74F7" w14:textId="77777777" w:rsidR="007B78D6" w:rsidRPr="007B78D6" w:rsidRDefault="007B78D6" w:rsidP="007B78D6">
        <w:pPr>
          <w:pStyle w:val="Fuzeile"/>
          <w:rPr>
            <w:rStyle w:val="Hyperlink"/>
            <w:rFonts w:ascii="Arial Narrow" w:hAnsi="Arial Narrow"/>
            <w:color w:val="auto"/>
            <w:sz w:val="22"/>
            <w:szCs w:val="22"/>
            <w:u w:val="none"/>
          </w:rPr>
        </w:pPr>
        <w:r w:rsidRPr="007B78D6">
          <w:rPr>
            <w:rStyle w:val="Hyperlink"/>
            <w:rFonts w:ascii="Arial Narrow" w:hAnsi="Arial Narrow"/>
            <w:color w:val="auto"/>
            <w:sz w:val="22"/>
            <w:szCs w:val="22"/>
            <w:u w:val="none"/>
          </w:rPr>
          <w:t>www.dgho.de</w:t>
        </w:r>
      </w:p>
      <w:p w14:paraId="5D2314E6" w14:textId="77777777" w:rsidR="007B78D6" w:rsidRPr="007B78D6" w:rsidRDefault="007B78D6" w:rsidP="007B78D6">
        <w:pPr>
          <w:pStyle w:val="Fuzeile"/>
          <w:rPr>
            <w:rStyle w:val="Hyperlink"/>
            <w:rFonts w:ascii="Arial Narrow" w:hAnsi="Arial Narrow"/>
            <w:color w:val="auto"/>
            <w:sz w:val="22"/>
            <w:szCs w:val="22"/>
            <w:u w:val="none"/>
          </w:rPr>
        </w:pPr>
        <w:r w:rsidRPr="007B78D6">
          <w:rPr>
            <w:rStyle w:val="Hyperlink"/>
            <w:rFonts w:ascii="Arial Narrow" w:hAnsi="Arial Narrow"/>
            <w:color w:val="auto"/>
            <w:sz w:val="22"/>
            <w:szCs w:val="22"/>
            <w:u w:val="none"/>
          </w:rPr>
          <w:t>Seite 4 von 4</w:t>
        </w:r>
      </w:p>
      <w:p w14:paraId="61C6D596" w14:textId="6396FB08" w:rsidR="00231CBC" w:rsidRPr="007B78D6" w:rsidRDefault="007B78D6" w:rsidP="007B78D6">
        <w:pPr>
          <w:pStyle w:val="Fuzeile"/>
          <w:rPr>
            <w:rFonts w:asciiTheme="minorBidi" w:hAnsiTheme="minorBidi"/>
            <w:sz w:val="20"/>
            <w:szCs w:val="20"/>
            <w:lang w:val="en-US"/>
          </w:rPr>
        </w:pPr>
        <w:r w:rsidRPr="007B78D6">
          <w:rPr>
            <w:rStyle w:val="Hyperlink"/>
            <w:rFonts w:ascii="Arial Narrow" w:hAnsi="Arial Narrow"/>
            <w:color w:val="auto"/>
            <w:sz w:val="22"/>
            <w:szCs w:val="22"/>
            <w:u w:val="none"/>
            <w:lang w:val="en-US"/>
          </w:rPr>
          <w:t xml:space="preserve">26-121 </w:t>
        </w:r>
        <w:proofErr w:type="spellStart"/>
        <w:r w:rsidRPr="007B78D6">
          <w:rPr>
            <w:rStyle w:val="Hyperlink"/>
            <w:rFonts w:ascii="Arial Narrow" w:hAnsi="Arial Narrow"/>
            <w:color w:val="auto"/>
            <w:sz w:val="22"/>
            <w:szCs w:val="22"/>
            <w:u w:val="none"/>
            <w:lang w:val="en-US"/>
          </w:rPr>
          <w:t>Ruxolitinib</w:t>
        </w:r>
        <w:proofErr w:type="spellEnd"/>
        <w:r w:rsidRPr="007B78D6">
          <w:rPr>
            <w:rStyle w:val="Hyperlink"/>
            <w:rFonts w:ascii="Arial Narrow" w:hAnsi="Arial Narrow"/>
            <w:color w:val="auto"/>
            <w:sz w:val="22"/>
            <w:szCs w:val="22"/>
            <w:u w:val="none"/>
            <w:lang w:val="en-US"/>
          </w:rPr>
          <w:t xml:space="preserve"> NUB-</w:t>
        </w:r>
        <w:proofErr w:type="spellStart"/>
        <w:r w:rsidRPr="007B78D6">
          <w:rPr>
            <w:rStyle w:val="Hyperlink"/>
            <w:rFonts w:ascii="Arial Narrow" w:hAnsi="Arial Narrow"/>
            <w:color w:val="auto"/>
            <w:sz w:val="22"/>
            <w:szCs w:val="22"/>
            <w:u w:val="none"/>
            <w:lang w:val="en-US"/>
          </w:rPr>
          <w:t>Anfrage</w:t>
        </w:r>
        <w:proofErr w:type="spellEnd"/>
        <w:r w:rsidRPr="007B78D6">
          <w:rPr>
            <w:rStyle w:val="Hyperlink"/>
            <w:rFonts w:ascii="Arial Narrow" w:hAnsi="Arial Narrow"/>
            <w:color w:val="auto"/>
            <w:sz w:val="22"/>
            <w:szCs w:val="22"/>
            <w:u w:val="none"/>
            <w:lang w:val="en-US"/>
          </w:rPr>
          <w:t>-</w:t>
        </w:r>
        <w:proofErr w:type="spellStart"/>
        <w:r w:rsidRPr="007B78D6">
          <w:rPr>
            <w:rStyle w:val="Hyperlink"/>
            <w:rFonts w:ascii="Arial Narrow" w:hAnsi="Arial Narrow"/>
            <w:color w:val="auto"/>
            <w:sz w:val="22"/>
            <w:szCs w:val="22"/>
            <w:u w:val="none"/>
            <w:lang w:val="en-US"/>
          </w:rPr>
          <w:t>DGHO_Stand</w:t>
        </w:r>
        <w:proofErr w:type="spellEnd"/>
        <w:r w:rsidRPr="007B78D6">
          <w:rPr>
            <w:rStyle w:val="Hyperlink"/>
            <w:rFonts w:ascii="Arial Narrow" w:hAnsi="Arial Narrow"/>
            <w:color w:val="auto"/>
            <w:sz w:val="22"/>
            <w:szCs w:val="22"/>
            <w:u w:val="none"/>
            <w:lang w:val="en-US"/>
          </w:rPr>
          <w:t xml:space="preserve"> 2025-09-18 final</w:t>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8AB1C" w14:textId="77777777" w:rsidR="007B78D6" w:rsidRDefault="007B78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C050B" w14:textId="77777777" w:rsidR="00EA0131" w:rsidRDefault="00EA0131">
      <w:r>
        <w:separator/>
      </w:r>
    </w:p>
  </w:footnote>
  <w:footnote w:type="continuationSeparator" w:id="0">
    <w:p w14:paraId="55516186" w14:textId="77777777" w:rsidR="00EA0131" w:rsidRDefault="00EA0131">
      <w:r>
        <w:continuationSeparator/>
      </w:r>
    </w:p>
  </w:footnote>
  <w:footnote w:type="continuationNotice" w:id="1">
    <w:p w14:paraId="498E8341" w14:textId="77777777" w:rsidR="00EA0131" w:rsidRDefault="00EA01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824F3" w14:textId="77777777" w:rsidR="007B78D6" w:rsidRDefault="007B78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C49C1" w14:textId="26BA47F7" w:rsidR="00231CBC" w:rsidRPr="00F7328D" w:rsidRDefault="00231CBC" w:rsidP="00231CBC">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2853FF">
      <w:rPr>
        <w:rFonts w:asciiTheme="minorBidi" w:hAnsiTheme="minorBidi"/>
        <w:b/>
      </w:rPr>
      <w:t>5</w:t>
    </w:r>
    <w:r w:rsidRPr="00F7328D">
      <w:rPr>
        <w:rFonts w:asciiTheme="minorBidi" w:hAnsiTheme="minorBidi"/>
        <w:b/>
      </w:rPr>
      <w:t>/202</w:t>
    </w:r>
    <w:r w:rsidR="002853FF">
      <w:rPr>
        <w:rFonts w:asciiTheme="minorBidi" w:hAnsiTheme="minorBidi"/>
        <w:b/>
      </w:rPr>
      <w:t>6</w:t>
    </w:r>
  </w:p>
  <w:p w14:paraId="7E4A2C6A" w14:textId="77777777" w:rsidR="00231CBC" w:rsidRDefault="00231CBC" w:rsidP="00231CBC">
    <w:pPr>
      <w:pStyle w:val="Kopfzeile"/>
      <w:rPr>
        <w:rFonts w:asciiTheme="minorBidi" w:hAnsiTheme="minorBidi"/>
        <w:b/>
      </w:rPr>
    </w:pPr>
  </w:p>
  <w:p w14:paraId="59463981" w14:textId="186EE061" w:rsidR="00231CBC" w:rsidRDefault="00B86C0C" w:rsidP="00231CBC">
    <w:pPr>
      <w:pStyle w:val="Kopfzeile"/>
    </w:pPr>
    <w:proofErr w:type="spellStart"/>
    <w:r>
      <w:rPr>
        <w:rFonts w:asciiTheme="minorBidi" w:hAnsiTheme="minorBidi"/>
        <w:b/>
      </w:rPr>
      <w:t>Ruxolitinib</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888A1" w14:textId="77777777" w:rsidR="007B78D6" w:rsidRDefault="007B78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28319E3"/>
    <w:multiLevelType w:val="hybridMultilevel"/>
    <w:tmpl w:val="EC38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953D2"/>
    <w:rsid w:val="000C704A"/>
    <w:rsid w:val="000D411F"/>
    <w:rsid w:val="000D615D"/>
    <w:rsid w:val="000F3635"/>
    <w:rsid w:val="00104C97"/>
    <w:rsid w:val="00112F99"/>
    <w:rsid w:val="001419B0"/>
    <w:rsid w:val="00156FE0"/>
    <w:rsid w:val="00174C6A"/>
    <w:rsid w:val="001774E7"/>
    <w:rsid w:val="001812EC"/>
    <w:rsid w:val="00181617"/>
    <w:rsid w:val="001A4F56"/>
    <w:rsid w:val="001A7AC7"/>
    <w:rsid w:val="001F4753"/>
    <w:rsid w:val="002005AF"/>
    <w:rsid w:val="00225AF5"/>
    <w:rsid w:val="00231CBC"/>
    <w:rsid w:val="002333FF"/>
    <w:rsid w:val="00234FB1"/>
    <w:rsid w:val="00256B7C"/>
    <w:rsid w:val="00270D8D"/>
    <w:rsid w:val="0028432D"/>
    <w:rsid w:val="002853FF"/>
    <w:rsid w:val="00285AE4"/>
    <w:rsid w:val="002C298D"/>
    <w:rsid w:val="002D7403"/>
    <w:rsid w:val="002E5E26"/>
    <w:rsid w:val="00305016"/>
    <w:rsid w:val="003479E5"/>
    <w:rsid w:val="0036178C"/>
    <w:rsid w:val="0036325A"/>
    <w:rsid w:val="0038396C"/>
    <w:rsid w:val="003A4F4E"/>
    <w:rsid w:val="003B2E05"/>
    <w:rsid w:val="003B3FB7"/>
    <w:rsid w:val="003B534C"/>
    <w:rsid w:val="003F2692"/>
    <w:rsid w:val="0040610F"/>
    <w:rsid w:val="0041156E"/>
    <w:rsid w:val="0042640C"/>
    <w:rsid w:val="00435583"/>
    <w:rsid w:val="00454847"/>
    <w:rsid w:val="0046301A"/>
    <w:rsid w:val="004635A1"/>
    <w:rsid w:val="004642E2"/>
    <w:rsid w:val="00467246"/>
    <w:rsid w:val="00492AB4"/>
    <w:rsid w:val="00494C0F"/>
    <w:rsid w:val="004A2D4E"/>
    <w:rsid w:val="004A5FB0"/>
    <w:rsid w:val="004B3438"/>
    <w:rsid w:val="004B624B"/>
    <w:rsid w:val="004B6C59"/>
    <w:rsid w:val="004B71EB"/>
    <w:rsid w:val="004C4F82"/>
    <w:rsid w:val="004E1D02"/>
    <w:rsid w:val="00504FB4"/>
    <w:rsid w:val="0050526A"/>
    <w:rsid w:val="005125E9"/>
    <w:rsid w:val="00541B64"/>
    <w:rsid w:val="005524BC"/>
    <w:rsid w:val="005530A6"/>
    <w:rsid w:val="005638EB"/>
    <w:rsid w:val="0057537C"/>
    <w:rsid w:val="00596F9A"/>
    <w:rsid w:val="005B620C"/>
    <w:rsid w:val="005E7628"/>
    <w:rsid w:val="005F29C6"/>
    <w:rsid w:val="005F4D2E"/>
    <w:rsid w:val="005F4FCF"/>
    <w:rsid w:val="00612463"/>
    <w:rsid w:val="00620855"/>
    <w:rsid w:val="006354B6"/>
    <w:rsid w:val="006451B6"/>
    <w:rsid w:val="006549F4"/>
    <w:rsid w:val="00664E69"/>
    <w:rsid w:val="00681EC4"/>
    <w:rsid w:val="006935F8"/>
    <w:rsid w:val="006C656D"/>
    <w:rsid w:val="006C7EC8"/>
    <w:rsid w:val="006F720E"/>
    <w:rsid w:val="006F7F69"/>
    <w:rsid w:val="007600D1"/>
    <w:rsid w:val="0078272D"/>
    <w:rsid w:val="007A314E"/>
    <w:rsid w:val="007A6F09"/>
    <w:rsid w:val="007B78D6"/>
    <w:rsid w:val="007D4B30"/>
    <w:rsid w:val="007F0381"/>
    <w:rsid w:val="007F255B"/>
    <w:rsid w:val="00802EF7"/>
    <w:rsid w:val="00804F14"/>
    <w:rsid w:val="0080511D"/>
    <w:rsid w:val="00807564"/>
    <w:rsid w:val="00816924"/>
    <w:rsid w:val="00824675"/>
    <w:rsid w:val="00843507"/>
    <w:rsid w:val="00850D44"/>
    <w:rsid w:val="00890BC2"/>
    <w:rsid w:val="008B17D8"/>
    <w:rsid w:val="008B38C2"/>
    <w:rsid w:val="008B4504"/>
    <w:rsid w:val="008B7669"/>
    <w:rsid w:val="008C1686"/>
    <w:rsid w:val="008D12DD"/>
    <w:rsid w:val="008E6675"/>
    <w:rsid w:val="00900E00"/>
    <w:rsid w:val="00925542"/>
    <w:rsid w:val="0095172A"/>
    <w:rsid w:val="009545AF"/>
    <w:rsid w:val="00983554"/>
    <w:rsid w:val="009B1C7E"/>
    <w:rsid w:val="009C0B84"/>
    <w:rsid w:val="009C144E"/>
    <w:rsid w:val="009D7CA8"/>
    <w:rsid w:val="009E60A3"/>
    <w:rsid w:val="00A00CCB"/>
    <w:rsid w:val="00A100DC"/>
    <w:rsid w:val="00A2016B"/>
    <w:rsid w:val="00A21E9E"/>
    <w:rsid w:val="00A233B0"/>
    <w:rsid w:val="00A345A9"/>
    <w:rsid w:val="00A43812"/>
    <w:rsid w:val="00A530BE"/>
    <w:rsid w:val="00A93AAD"/>
    <w:rsid w:val="00AA6B4F"/>
    <w:rsid w:val="00AB10BF"/>
    <w:rsid w:val="00AE4C49"/>
    <w:rsid w:val="00B03A61"/>
    <w:rsid w:val="00B574E9"/>
    <w:rsid w:val="00B6570D"/>
    <w:rsid w:val="00B773B8"/>
    <w:rsid w:val="00B8615B"/>
    <w:rsid w:val="00B86C0C"/>
    <w:rsid w:val="00BA6044"/>
    <w:rsid w:val="00BB4A54"/>
    <w:rsid w:val="00BC3D19"/>
    <w:rsid w:val="00BC4042"/>
    <w:rsid w:val="00BE3979"/>
    <w:rsid w:val="00BF11AE"/>
    <w:rsid w:val="00C112A6"/>
    <w:rsid w:val="00C11458"/>
    <w:rsid w:val="00C21654"/>
    <w:rsid w:val="00C35BFE"/>
    <w:rsid w:val="00C52608"/>
    <w:rsid w:val="00C676EE"/>
    <w:rsid w:val="00CA7886"/>
    <w:rsid w:val="00CB1DA5"/>
    <w:rsid w:val="00CB3CA3"/>
    <w:rsid w:val="00CB7E53"/>
    <w:rsid w:val="00CC7E5F"/>
    <w:rsid w:val="00CD2365"/>
    <w:rsid w:val="00CD5EBA"/>
    <w:rsid w:val="00CE69F3"/>
    <w:rsid w:val="00CF56C3"/>
    <w:rsid w:val="00CF5ECC"/>
    <w:rsid w:val="00D14350"/>
    <w:rsid w:val="00D216BD"/>
    <w:rsid w:val="00D21A79"/>
    <w:rsid w:val="00D41422"/>
    <w:rsid w:val="00D61CDF"/>
    <w:rsid w:val="00D662EF"/>
    <w:rsid w:val="00D74AC7"/>
    <w:rsid w:val="00D87B96"/>
    <w:rsid w:val="00D9586E"/>
    <w:rsid w:val="00DB14F4"/>
    <w:rsid w:val="00DB4789"/>
    <w:rsid w:val="00DC041E"/>
    <w:rsid w:val="00DC6CBD"/>
    <w:rsid w:val="00DE0DAA"/>
    <w:rsid w:val="00DF01F8"/>
    <w:rsid w:val="00DF3569"/>
    <w:rsid w:val="00E24E3B"/>
    <w:rsid w:val="00E477C8"/>
    <w:rsid w:val="00E53F75"/>
    <w:rsid w:val="00E86725"/>
    <w:rsid w:val="00E90B5F"/>
    <w:rsid w:val="00E9243F"/>
    <w:rsid w:val="00E92C57"/>
    <w:rsid w:val="00EA0131"/>
    <w:rsid w:val="00EC0987"/>
    <w:rsid w:val="00ED3724"/>
    <w:rsid w:val="00ED4386"/>
    <w:rsid w:val="00ED79AA"/>
    <w:rsid w:val="00EE0D0B"/>
    <w:rsid w:val="00EE1581"/>
    <w:rsid w:val="00EE5875"/>
    <w:rsid w:val="00F000AA"/>
    <w:rsid w:val="00F233AA"/>
    <w:rsid w:val="00F32F43"/>
    <w:rsid w:val="00F4497A"/>
    <w:rsid w:val="00F64982"/>
    <w:rsid w:val="00F708D3"/>
    <w:rsid w:val="00F7141A"/>
    <w:rsid w:val="00F91167"/>
    <w:rsid w:val="00F979D5"/>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DD2B15E6-1587-457F-9084-E428BC03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4B71EB"/>
    <w:pPr>
      <w:autoSpaceDE w:val="0"/>
      <w:autoSpaceDN w:val="0"/>
      <w:adjustRightInd w:val="0"/>
    </w:pPr>
    <w:rPr>
      <w:rFonts w:ascii="Arial" w:hAnsi="Arial" w:cs="Arial"/>
      <w:color w:val="000000"/>
      <w:sz w:val="24"/>
      <w:szCs w:val="24"/>
      <w:lang w:val="en-US" w:eastAsia="en-US"/>
    </w:rPr>
  </w:style>
  <w:style w:type="character" w:styleId="Kommentarzeichen">
    <w:name w:val="annotation reference"/>
    <w:basedOn w:val="Absatz-Standardschriftart"/>
    <w:uiPriority w:val="99"/>
    <w:semiHidden/>
    <w:unhideWhenUsed/>
    <w:rsid w:val="00F708D3"/>
    <w:rPr>
      <w:sz w:val="16"/>
      <w:szCs w:val="16"/>
    </w:rPr>
  </w:style>
  <w:style w:type="paragraph" w:styleId="Kommentartext">
    <w:name w:val="annotation text"/>
    <w:basedOn w:val="Standard"/>
    <w:link w:val="KommentartextZchn"/>
    <w:uiPriority w:val="99"/>
    <w:unhideWhenUsed/>
    <w:rsid w:val="00F708D3"/>
    <w:rPr>
      <w:sz w:val="20"/>
      <w:szCs w:val="20"/>
    </w:rPr>
  </w:style>
  <w:style w:type="character" w:customStyle="1" w:styleId="KommentartextZchn">
    <w:name w:val="Kommentartext Zchn"/>
    <w:basedOn w:val="Absatz-Standardschriftart"/>
    <w:link w:val="Kommentartext"/>
    <w:uiPriority w:val="99"/>
    <w:rsid w:val="00F708D3"/>
    <w:rPr>
      <w:sz w:val="20"/>
      <w:szCs w:val="20"/>
    </w:rPr>
  </w:style>
  <w:style w:type="paragraph" w:styleId="Kommentarthema">
    <w:name w:val="annotation subject"/>
    <w:basedOn w:val="Kommentartext"/>
    <w:next w:val="Kommentartext"/>
    <w:link w:val="KommentarthemaZchn"/>
    <w:uiPriority w:val="99"/>
    <w:semiHidden/>
    <w:unhideWhenUsed/>
    <w:rsid w:val="00F708D3"/>
    <w:rPr>
      <w:b/>
      <w:bCs/>
    </w:rPr>
  </w:style>
  <w:style w:type="character" w:customStyle="1" w:styleId="KommentarthemaZchn">
    <w:name w:val="Kommentarthema Zchn"/>
    <w:basedOn w:val="KommentartextZchn"/>
    <w:link w:val="Kommentarthema"/>
    <w:uiPriority w:val="99"/>
    <w:semiHidden/>
    <w:rsid w:val="00F708D3"/>
    <w:rPr>
      <w:b/>
      <w:bCs/>
      <w:sz w:val="20"/>
      <w:szCs w:val="20"/>
    </w:rPr>
  </w:style>
  <w:style w:type="character" w:customStyle="1" w:styleId="Aufzaehl1Zchn">
    <w:name w:val="Aufzaehl1 Zchn"/>
    <w:link w:val="Aufzaehl1"/>
    <w:locked/>
    <w:rsid w:val="00231CBC"/>
    <w:rPr>
      <w:rFonts w:ascii="Calibri" w:hAnsi="Calibri" w:cs="Calibri"/>
    </w:rPr>
  </w:style>
  <w:style w:type="paragraph" w:customStyle="1" w:styleId="Aufzaehl1">
    <w:name w:val="Aufzaehl1"/>
    <w:basedOn w:val="Textkrper-Zeileneinzug"/>
    <w:link w:val="Aufzaehl1Zchn"/>
    <w:qFormat/>
    <w:rsid w:val="00231CBC"/>
    <w:pPr>
      <w:tabs>
        <w:tab w:val="left" w:pos="0"/>
        <w:tab w:val="num" w:pos="720"/>
      </w:tabs>
      <w:spacing w:after="0" w:line="259" w:lineRule="auto"/>
      <w:ind w:left="360" w:hanging="360"/>
    </w:pPr>
    <w:rPr>
      <w:rFonts w:ascii="Calibri" w:hAnsi="Calibri" w:cs="Calibri"/>
      <w:sz w:val="22"/>
      <w:szCs w:val="22"/>
    </w:rPr>
  </w:style>
  <w:style w:type="paragraph" w:styleId="Textkrper-Zeileneinzug">
    <w:name w:val="Body Text Indent"/>
    <w:basedOn w:val="Standard"/>
    <w:link w:val="Textkrper-ZeileneinzugZchn"/>
    <w:uiPriority w:val="99"/>
    <w:semiHidden/>
    <w:unhideWhenUsed/>
    <w:rsid w:val="00231CBC"/>
    <w:pPr>
      <w:spacing w:after="120"/>
      <w:ind w:left="283"/>
    </w:pPr>
  </w:style>
  <w:style w:type="character" w:customStyle="1" w:styleId="Textkrper-ZeileneinzugZchn">
    <w:name w:val="Textkörper-Zeileneinzug Zchn"/>
    <w:basedOn w:val="Absatz-Standardschriftart"/>
    <w:link w:val="Textkrper-Zeileneinzug"/>
    <w:uiPriority w:val="99"/>
    <w:semiHidden/>
    <w:rsid w:val="00231C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004627201">
      <w:bodyDiv w:val="1"/>
      <w:marLeft w:val="0"/>
      <w:marRight w:val="0"/>
      <w:marTop w:val="0"/>
      <w:marBottom w:val="0"/>
      <w:divBdr>
        <w:top w:val="none" w:sz="0" w:space="0" w:color="auto"/>
        <w:left w:val="none" w:sz="0" w:space="0" w:color="auto"/>
        <w:bottom w:val="none" w:sz="0" w:space="0" w:color="auto"/>
        <w:right w:val="none" w:sz="0" w:space="0" w:color="auto"/>
      </w:divBdr>
      <w:divsChild>
        <w:div w:id="471749583">
          <w:marLeft w:val="0"/>
          <w:marRight w:val="0"/>
          <w:marTop w:val="0"/>
          <w:marBottom w:val="0"/>
          <w:divBdr>
            <w:top w:val="none" w:sz="0" w:space="0" w:color="auto"/>
            <w:left w:val="none" w:sz="0" w:space="0" w:color="auto"/>
            <w:bottom w:val="none" w:sz="0" w:space="0" w:color="auto"/>
            <w:right w:val="none" w:sz="0" w:space="0" w:color="auto"/>
          </w:divBdr>
          <w:divsChild>
            <w:div w:id="2116905655">
              <w:marLeft w:val="0"/>
              <w:marRight w:val="0"/>
              <w:marTop w:val="0"/>
              <w:marBottom w:val="0"/>
              <w:divBdr>
                <w:top w:val="none" w:sz="0" w:space="0" w:color="auto"/>
                <w:left w:val="none" w:sz="0" w:space="0" w:color="auto"/>
                <w:bottom w:val="none" w:sz="0" w:space="0" w:color="auto"/>
                <w:right w:val="none" w:sz="0" w:space="0" w:color="auto"/>
              </w:divBdr>
              <w:divsChild>
                <w:div w:id="755399398">
                  <w:marLeft w:val="0"/>
                  <w:marRight w:val="0"/>
                  <w:marTop w:val="0"/>
                  <w:marBottom w:val="0"/>
                  <w:divBdr>
                    <w:top w:val="none" w:sz="0" w:space="0" w:color="auto"/>
                    <w:left w:val="none" w:sz="0" w:space="0" w:color="auto"/>
                    <w:bottom w:val="none" w:sz="0" w:space="0" w:color="auto"/>
                    <w:right w:val="none" w:sz="0" w:space="0" w:color="auto"/>
                  </w:divBdr>
                  <w:divsChild>
                    <w:div w:id="18694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8B34AE8F-275A-4F18-8127-21AC3D7609CB}"/>
</file>

<file path=customXml/itemProps2.xml><?xml version="1.0" encoding="utf-8"?>
<ds:datastoreItem xmlns:ds="http://schemas.openxmlformats.org/officeDocument/2006/customXml" ds:itemID="{E1421BA4-2B73-480B-8EE3-95FD6A2A7C81}"/>
</file>

<file path=customXml/itemProps3.xml><?xml version="1.0" encoding="utf-8"?>
<ds:datastoreItem xmlns:ds="http://schemas.openxmlformats.org/officeDocument/2006/customXml" ds:itemID="{FB688EDD-2CC9-4CFF-9E84-4D3ED22504C1}"/>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7605</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2025-10-11T13:54:00Z</dcterms:created>
  <dcterms:modified xsi:type="dcterms:W3CDTF">2025-10-11T13:54:00Z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