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6E0FCCA7" w14:textId="77777777" w:rsidTr="00712FA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32A138E1"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Haben Sie externe Hilfestellungen zum Ausfüllen der Formblätter in Anspruch genommen? Wenn ja, bitte geben Sie an, welche Hilfestellung Sie in Anspruch genommen haben?</w:t>
            </w:r>
          </w:p>
        </w:tc>
      </w:tr>
      <w:tr w:rsidR="00712FAB" w:rsidRPr="00283F92" w14:paraId="63058C47" w14:textId="77777777" w:rsidTr="00712FAB">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6F2B165B" w14:textId="1508682E" w:rsidR="00712FAB" w:rsidRPr="00283F92" w:rsidRDefault="00712FAB" w:rsidP="00283F92">
            <w:pPr>
              <w:spacing w:after="0"/>
              <w:rPr>
                <w:rFonts w:ascii="Arial Narrow" w:hAnsi="Arial Narrow"/>
                <w:sz w:val="22"/>
                <w:szCs w:val="22"/>
              </w:rPr>
            </w:pPr>
            <w:r w:rsidRPr="00283F92">
              <w:rPr>
                <w:rFonts w:ascii="Arial Narrow" w:hAnsi="Arial Narrow"/>
                <w:sz w:val="22"/>
                <w:szCs w:val="22"/>
              </w:rPr>
              <w:t>Dieser Antrag wurde durch die deutsche Gesellschaft für Hämatologie und medizinische Onkologie e.V. vorformuliert</w:t>
            </w:r>
            <w:r w:rsidR="00E80AB8">
              <w:rPr>
                <w:rFonts w:ascii="Arial Narrow" w:hAnsi="Arial Narrow"/>
                <w:sz w:val="22"/>
                <w:szCs w:val="22"/>
              </w:rPr>
              <w:t xml:space="preserve"> und wird durch die Gesellschaft für Pädiatrische Hämatologie und Onkologie e.V. unterstützt</w:t>
            </w:r>
            <w:r w:rsidR="00E80AB8" w:rsidRPr="006A7E7F">
              <w:rPr>
                <w:rFonts w:ascii="Arial Narrow" w:hAnsi="Arial Narrow"/>
                <w:sz w:val="22"/>
                <w:szCs w:val="22"/>
              </w:rPr>
              <w:t>.</w:t>
            </w:r>
          </w:p>
        </w:tc>
      </w:tr>
    </w:tbl>
    <w:p w14:paraId="66E37D4C"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0C4D6B07"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404AAFF7" w14:textId="77777777" w:rsidR="00712FAB" w:rsidRPr="00283F92" w:rsidRDefault="00712FAB" w:rsidP="00283F92">
            <w:pPr>
              <w:spacing w:after="0"/>
              <w:rPr>
                <w:rFonts w:ascii="Arial Narrow" w:hAnsi="Arial Narrow"/>
                <w:b/>
                <w:sz w:val="22"/>
                <w:szCs w:val="22"/>
                <w:lang w:val="en-US"/>
              </w:rPr>
            </w:pPr>
            <w:r w:rsidRPr="00283F92">
              <w:rPr>
                <w:rFonts w:ascii="Arial Narrow" w:hAnsi="Arial Narrow"/>
                <w:b/>
                <w:sz w:val="22"/>
                <w:szCs w:val="22"/>
                <w:lang w:val="en-US"/>
              </w:rPr>
              <w:t>Angefragte Untersuchungs- und Behandlungsmethode</w:t>
            </w:r>
          </w:p>
        </w:tc>
      </w:tr>
      <w:tr w:rsidR="00712FAB" w:rsidRPr="00283F92" w14:paraId="21511D9A"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10FAC49"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Emicizumab</w:t>
            </w:r>
          </w:p>
        </w:tc>
      </w:tr>
    </w:tbl>
    <w:p w14:paraId="3FE94F73"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47650D18"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7499B296"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Alternative Bezeichnung(en) der Methode</w:t>
            </w:r>
          </w:p>
        </w:tc>
      </w:tr>
      <w:tr w:rsidR="00712FAB" w:rsidRPr="00283F92" w14:paraId="3A7F7B13"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0AB41B14"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Hemlibra®</w:t>
            </w:r>
          </w:p>
        </w:tc>
      </w:tr>
    </w:tbl>
    <w:p w14:paraId="47A15335"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4A195244" w14:textId="77777777" w:rsidTr="00712FA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1301E0CA"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Beruht die neue Untersuchungs- und Behandlungsmethode vollständig oder in Teilen auf dem Einsatz eines Medizinproduktes?</w:t>
            </w:r>
          </w:p>
        </w:tc>
      </w:tr>
      <w:tr w:rsidR="00712FAB" w:rsidRPr="00283F92" w14:paraId="6A45573A" w14:textId="77777777" w:rsidTr="00712FAB">
        <w:trPr>
          <w:trHeight w:val="249"/>
        </w:trPr>
        <w:tc>
          <w:tcPr>
            <w:tcW w:w="9215" w:type="dxa"/>
            <w:tcBorders>
              <w:top w:val="single" w:sz="4" w:space="0" w:color="000000"/>
              <w:left w:val="single" w:sz="4" w:space="0" w:color="000000"/>
              <w:bottom w:val="single" w:sz="4" w:space="0" w:color="000000"/>
              <w:right w:val="single" w:sz="4" w:space="0" w:color="000000"/>
            </w:tcBorders>
            <w:hideMark/>
          </w:tcPr>
          <w:p w14:paraId="4875CCF9"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w:t>
            </w:r>
            <w:r w:rsidRPr="00283F92">
              <w:rPr>
                <w:rFonts w:ascii="Arial Narrow" w:hAnsi="Arial Narrow"/>
                <w:sz w:val="22"/>
                <w:szCs w:val="22"/>
                <w:highlight w:val="yellow"/>
                <w:lang w:val="en-US"/>
              </w:rPr>
              <w:t>nein ankreuzen</w:t>
            </w:r>
            <w:r w:rsidRPr="00283F92">
              <w:rPr>
                <w:rFonts w:ascii="Arial Narrow" w:hAnsi="Arial Narrow"/>
                <w:sz w:val="22"/>
                <w:szCs w:val="22"/>
                <w:lang w:val="en-US"/>
              </w:rPr>
              <w:t>]</w:t>
            </w:r>
          </w:p>
        </w:tc>
      </w:tr>
    </w:tbl>
    <w:p w14:paraId="0130460F"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7275C8E8" w14:textId="77777777" w:rsidTr="00712FA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33FC55D6"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Wurde für diese angefragte Untersuchungs- und Behandlungsmethode von Ihrem Krankenhaus bereits vor dem 01.01.2024 eine Anfrage gemäß §6 Abs. 2 KHEntG an das InEK übermittelt?</w:t>
            </w:r>
          </w:p>
        </w:tc>
      </w:tr>
      <w:tr w:rsidR="00712FAB" w:rsidRPr="00283F92" w14:paraId="1EC6267C"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2BA973A4" w14:textId="3C3B8631" w:rsidR="00712FAB" w:rsidRPr="00283F92" w:rsidRDefault="00712FAB" w:rsidP="00283F92">
            <w:pPr>
              <w:spacing w:after="0"/>
              <w:rPr>
                <w:rFonts w:ascii="Arial Narrow" w:hAnsi="Arial Narrow"/>
                <w:sz w:val="22"/>
                <w:szCs w:val="22"/>
              </w:rPr>
            </w:pPr>
            <w:r w:rsidRPr="004B1951">
              <w:rPr>
                <w:rFonts w:ascii="Arial Narrow" w:hAnsi="Arial Narrow"/>
                <w:sz w:val="22"/>
                <w:szCs w:val="22"/>
                <w:highlight w:val="yellow"/>
              </w:rPr>
              <w:t>[</w:t>
            </w:r>
            <w:r w:rsidR="004B1951" w:rsidRPr="004B1951">
              <w:rPr>
                <w:rFonts w:ascii="Arial Narrow" w:hAnsi="Arial Narrow"/>
                <w:sz w:val="22"/>
                <w:szCs w:val="22"/>
                <w:highlight w:val="yellow"/>
              </w:rPr>
              <w:t>hier ja ankreuzen, falls Sie zu den Häusern gehören, die im Vorjahr eine Anfrage gestellt haben, sonst nein ankreuzen. Bei ja Anfrage aus dem Vorjahr im Datenportal auswählen. Die Angabe der vorangegangenen Verfahrensnummer ist Pflicht, diese wird im Formular durch die Suchfunktion unterstützt]</w:t>
            </w:r>
          </w:p>
        </w:tc>
      </w:tr>
    </w:tbl>
    <w:p w14:paraId="20A31867" w14:textId="77777777" w:rsidR="00125A2E" w:rsidRPr="00283F92" w:rsidRDefault="00125A2E" w:rsidP="00283F92">
      <w:pPr>
        <w:spacing w:after="0"/>
        <w:rPr>
          <w:rFonts w:ascii="Arial Narrow" w:hAnsi="Arial Narrow"/>
          <w:sz w:val="22"/>
          <w:szCs w:val="22"/>
        </w:rPr>
      </w:pPr>
    </w:p>
    <w:tbl>
      <w:tblPr>
        <w:tblW w:w="921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1BBE93FA"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7D2C438" w14:textId="77777777" w:rsidR="00712FAB" w:rsidRPr="00283F92" w:rsidRDefault="00712FAB" w:rsidP="00283F92">
            <w:pPr>
              <w:spacing w:after="0"/>
              <w:rPr>
                <w:rFonts w:ascii="Arial Narrow" w:hAnsi="Arial Narrow"/>
                <w:b/>
                <w:sz w:val="22"/>
                <w:szCs w:val="22"/>
                <w:lang w:val="en-US"/>
              </w:rPr>
            </w:pPr>
            <w:r w:rsidRPr="00283F92">
              <w:rPr>
                <w:rFonts w:ascii="Arial Narrow" w:hAnsi="Arial Narrow"/>
                <w:b/>
                <w:sz w:val="22"/>
                <w:szCs w:val="22"/>
                <w:lang w:val="en-US"/>
              </w:rPr>
              <w:t>Beschreibung der neuen Methode</w:t>
            </w:r>
          </w:p>
        </w:tc>
      </w:tr>
      <w:tr w:rsidR="00712FAB" w:rsidRPr="00283F92" w14:paraId="602812CD" w14:textId="77777777" w:rsidTr="00283F92">
        <w:trPr>
          <w:trHeight w:val="773"/>
        </w:trPr>
        <w:tc>
          <w:tcPr>
            <w:tcW w:w="9215" w:type="dxa"/>
            <w:tcBorders>
              <w:top w:val="single" w:sz="4" w:space="0" w:color="000000"/>
              <w:left w:val="single" w:sz="4" w:space="0" w:color="000000"/>
              <w:bottom w:val="single" w:sz="4" w:space="0" w:color="000000"/>
              <w:right w:val="single" w:sz="4" w:space="0" w:color="000000"/>
            </w:tcBorders>
            <w:hideMark/>
          </w:tcPr>
          <w:p w14:paraId="793FAC6B"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u w:val="single"/>
              </w:rPr>
              <w:t>Wirkweise</w:t>
            </w:r>
            <w:r w:rsidRPr="00283F92">
              <w:rPr>
                <w:rFonts w:ascii="Arial Narrow" w:hAnsi="Arial Narrow"/>
                <w:sz w:val="22"/>
                <w:szCs w:val="22"/>
              </w:rPr>
              <w:t>:</w:t>
            </w:r>
          </w:p>
          <w:p w14:paraId="1AC67378" w14:textId="77777777" w:rsidR="00712FAB" w:rsidRPr="004B1951" w:rsidRDefault="00712FAB" w:rsidP="00283F92">
            <w:pPr>
              <w:spacing w:after="0"/>
              <w:rPr>
                <w:rFonts w:ascii="Arial Narrow" w:hAnsi="Arial Narrow"/>
                <w:sz w:val="22"/>
                <w:szCs w:val="22"/>
              </w:rPr>
            </w:pPr>
            <w:r w:rsidRPr="004B1951">
              <w:rPr>
                <w:rFonts w:ascii="Arial Narrow" w:hAnsi="Arial Narrow"/>
                <w:sz w:val="22"/>
                <w:szCs w:val="22"/>
              </w:rPr>
              <w:t xml:space="preserve">Emicizumab, ein </w:t>
            </w:r>
            <w:hyperlink r:id="rId7" w:history="1">
              <w:r w:rsidRPr="004B1951">
                <w:rPr>
                  <w:rStyle w:val="Hyperlink"/>
                  <w:rFonts w:ascii="Arial Narrow" w:hAnsi="Arial Narrow"/>
                  <w:color w:val="auto"/>
                  <w:sz w:val="22"/>
                  <w:szCs w:val="22"/>
                </w:rPr>
                <w:t>bispezifischer</w:t>
              </w:r>
            </w:hyperlink>
            <w:r w:rsidRPr="004B1951">
              <w:rPr>
                <w:rFonts w:ascii="Arial Narrow" w:hAnsi="Arial Narrow"/>
                <w:sz w:val="22"/>
                <w:szCs w:val="22"/>
              </w:rPr>
              <w:t xml:space="preserve"> humanisierter, </w:t>
            </w:r>
            <w:hyperlink r:id="rId8" w:history="1">
              <w:r w:rsidRPr="004B1951">
                <w:rPr>
                  <w:rStyle w:val="Hyperlink"/>
                  <w:rFonts w:ascii="Arial Narrow" w:hAnsi="Arial Narrow"/>
                  <w:color w:val="auto"/>
                  <w:sz w:val="22"/>
                  <w:szCs w:val="22"/>
                </w:rPr>
                <w:t>monoklonaler Antikörper,</w:t>
              </w:r>
            </w:hyperlink>
            <w:r w:rsidRPr="004B1951">
              <w:rPr>
                <w:rFonts w:ascii="Arial Narrow" w:hAnsi="Arial Narrow"/>
                <w:sz w:val="22"/>
                <w:szCs w:val="22"/>
              </w:rPr>
              <w:t xml:space="preserve"> verbindet aktivierten Faktor IX und Faktor X, um die Funktion des bei Hämophilie Patienten fehlenden aktivierten Faktor VIII wiederherzustellen, die für eine effektive Hämostase notwendig ist. Emicizumab hat keine strukturelle Beziehung oder Sequenzhomologie zu Faktor VIII, sodass es die Entwicklung direkter Hemmkörper gegen Faktor VIII weder auslöst noch verstärkt.</w:t>
            </w:r>
          </w:p>
          <w:p w14:paraId="4A4879F7"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u w:val="single"/>
              </w:rPr>
              <w:t>Evidenzlage</w:t>
            </w:r>
            <w:r w:rsidRPr="00283F92">
              <w:rPr>
                <w:rFonts w:ascii="Arial Narrow" w:hAnsi="Arial Narrow"/>
                <w:sz w:val="22"/>
                <w:szCs w:val="22"/>
              </w:rPr>
              <w:t>:</w:t>
            </w:r>
          </w:p>
          <w:p w14:paraId="597BDB7C"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 xml:space="preserve">Die Prophylaxe mit Emicizumab (HAVEN 1) wurde in einer randomisierten, multizentrischen, offenen klinischen Studie an 109 männlichen Jugendlichen und Erwachsenen (im Alter von 12 bis 75 Jahren) mit Hämophilie A mit Faktor-VIII-Hemmkörpern geprüft, die zuvor entweder episodisch oder prophylaktisch mit Bypassing-Präparaten (aPCC und rFVIIa) behandelt worden waren. Die Prophylaxe mit Emicizumab führte im </w:t>
            </w:r>
            <w:r w:rsidRPr="00283F92">
              <w:rPr>
                <w:rFonts w:ascii="Arial Narrow" w:hAnsi="Arial Narrow"/>
                <w:sz w:val="22"/>
                <w:szCs w:val="22"/>
              </w:rPr>
              <w:lastRenderedPageBreak/>
              <w:t>Vergleich zur Prophylaxe mit Bypassing-Präparaten zu einer statistisch signifikanten (</w:t>
            </w:r>
            <w:r w:rsidRPr="00283F92">
              <w:rPr>
                <w:rFonts w:ascii="Arial Narrow" w:hAnsi="Arial Narrow"/>
                <w:i/>
                <w:sz w:val="22"/>
                <w:szCs w:val="22"/>
              </w:rPr>
              <w:t xml:space="preserve">p </w:t>
            </w:r>
            <w:r w:rsidRPr="00283F92">
              <w:rPr>
                <w:rFonts w:ascii="Arial Narrow" w:hAnsi="Arial Narrow"/>
                <w:sz w:val="22"/>
                <w:szCs w:val="22"/>
              </w:rPr>
              <w:t>= 0,0001) niedrigeren Rate der jährlichen Blutungen (2,9 versus 23,3).</w:t>
            </w:r>
          </w:p>
          <w:p w14:paraId="7FA00D51" w14:textId="697E141C" w:rsidR="00712FAB" w:rsidRPr="00283F92" w:rsidRDefault="00712FAB" w:rsidP="00283F92">
            <w:pPr>
              <w:spacing w:after="0"/>
              <w:rPr>
                <w:rFonts w:ascii="Arial Narrow" w:hAnsi="Arial Narrow"/>
                <w:sz w:val="22"/>
                <w:szCs w:val="22"/>
              </w:rPr>
            </w:pPr>
            <w:r w:rsidRPr="00283F92">
              <w:rPr>
                <w:rFonts w:ascii="Arial Narrow" w:hAnsi="Arial Narrow"/>
                <w:sz w:val="22"/>
                <w:szCs w:val="22"/>
              </w:rPr>
              <w:t xml:space="preserve">In der randomisierten 3-armigen Studie HAVEN 3 erhielten 152 Jugendliche und Erwachsene mit schwerer Hämophilie ohne F VIII-Hemmkörper, die zuvor entweder sporadisch oder prophylaktisch mit Faktor VIII behandelt wurden, über 4 Wochen Emicizumab und daran anschließend Emicizumab wöchentlich, alle 2 Wochen (2 unterschiedliche Dosierungen) oder Placebo. Es zeigte sich gegenüber Placebo eine niedrigere Rate jährlich behandelter Blutungen (1,5 bzw. 1,3 versus 38,2 im Placeboarm) (p&lt;0,0001). Quelle: Fachinformation Stand </w:t>
            </w:r>
            <w:r w:rsidR="004B1951" w:rsidRPr="004B1951">
              <w:rPr>
                <w:rFonts w:ascii="Arial Narrow" w:hAnsi="Arial Narrow"/>
                <w:sz w:val="22"/>
                <w:szCs w:val="22"/>
              </w:rPr>
              <w:t>März 2025</w:t>
            </w:r>
            <w:r w:rsidRPr="00283F92">
              <w:rPr>
                <w:rFonts w:ascii="Arial Narrow" w:hAnsi="Arial Narrow"/>
                <w:sz w:val="22"/>
                <w:szCs w:val="22"/>
              </w:rPr>
              <w:t>.</w:t>
            </w:r>
          </w:p>
          <w:p w14:paraId="3A2BE47F"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u w:val="single"/>
              </w:rPr>
              <w:t>Dosierung</w:t>
            </w:r>
            <w:r w:rsidRPr="00283F92">
              <w:rPr>
                <w:rFonts w:ascii="Arial Narrow" w:hAnsi="Arial Narrow"/>
                <w:sz w:val="22"/>
                <w:szCs w:val="22"/>
              </w:rPr>
              <w:t>:</w:t>
            </w:r>
          </w:p>
          <w:p w14:paraId="40E9B095"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3 mg/kg subcutan einmal wöchentlich in den ersten 4 Wochen (Initialdosis), gefolgt von 1,5 mg/kg einmal wöchentlich oder 3 mg/kg alle zwei Wochen oder 6 mg/kg alle 4 Wochen (Erhaltungsdosis).</w:t>
            </w:r>
          </w:p>
        </w:tc>
      </w:tr>
    </w:tbl>
    <w:p w14:paraId="17AEFAA7"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6A663834"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440E0F1A"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Mit welchem OPS wird die Methode verschlüsselt?</w:t>
            </w:r>
          </w:p>
        </w:tc>
      </w:tr>
      <w:tr w:rsidR="00712FAB" w:rsidRPr="00283F92" w14:paraId="4C639A8D"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E8701F9"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6-00b.8</w:t>
            </w:r>
          </w:p>
        </w:tc>
      </w:tr>
    </w:tbl>
    <w:p w14:paraId="21F574C9"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27115171"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7E914BAE" w14:textId="77777777" w:rsidR="00712FAB" w:rsidRPr="00283F92" w:rsidRDefault="00712FAB" w:rsidP="00283F92">
            <w:pPr>
              <w:spacing w:after="0"/>
              <w:rPr>
                <w:rFonts w:ascii="Arial Narrow" w:hAnsi="Arial Narrow"/>
                <w:b/>
                <w:sz w:val="22"/>
                <w:szCs w:val="22"/>
                <w:lang w:val="en-US"/>
              </w:rPr>
            </w:pPr>
            <w:r w:rsidRPr="00283F92">
              <w:rPr>
                <w:rFonts w:ascii="Arial Narrow" w:hAnsi="Arial Narrow"/>
                <w:b/>
                <w:sz w:val="22"/>
                <w:szCs w:val="22"/>
                <w:lang w:val="en-US"/>
              </w:rPr>
              <w:t>Anmerkungen zu den Prozeduren</w:t>
            </w:r>
          </w:p>
        </w:tc>
      </w:tr>
      <w:tr w:rsidR="00712FAB" w:rsidRPr="00283F92" w14:paraId="41CEE343"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5E6E2002" w14:textId="1E1D4B26" w:rsidR="00712FAB" w:rsidRPr="00283F92" w:rsidRDefault="00712FAB" w:rsidP="00283F92">
            <w:pPr>
              <w:spacing w:after="0"/>
              <w:rPr>
                <w:rFonts w:ascii="Arial Narrow" w:hAnsi="Arial Narrow"/>
                <w:sz w:val="22"/>
                <w:szCs w:val="22"/>
              </w:rPr>
            </w:pPr>
            <w:r w:rsidRPr="00283F92">
              <w:rPr>
                <w:rFonts w:ascii="Arial Narrow" w:hAnsi="Arial Narrow"/>
                <w:sz w:val="22"/>
                <w:szCs w:val="22"/>
              </w:rPr>
              <w:t xml:space="preserve">Ergänzend wird für die Gabe eines monoklonalen Antikörpers der Kode 8-547.0 </w:t>
            </w:r>
            <w:r w:rsidR="004B1951" w:rsidRPr="004B1951">
              <w:rPr>
                <w:rFonts w:ascii="Arial Narrow" w:hAnsi="Arial Narrow"/>
                <w:sz w:val="22"/>
                <w:szCs w:val="22"/>
              </w:rPr>
              <w:t>Andere Immuntherapie mit bispezifischen Antikörpern</w:t>
            </w:r>
            <w:r w:rsidR="004B1951">
              <w:rPr>
                <w:rFonts w:ascii="Arial Narrow" w:hAnsi="Arial Narrow"/>
                <w:sz w:val="22"/>
                <w:szCs w:val="22"/>
              </w:rPr>
              <w:t xml:space="preserve"> </w:t>
            </w:r>
            <w:r w:rsidRPr="00283F92">
              <w:rPr>
                <w:rFonts w:ascii="Arial Narrow" w:hAnsi="Arial Narrow"/>
                <w:sz w:val="22"/>
                <w:szCs w:val="22"/>
              </w:rPr>
              <w:t>verschlüsselt.</w:t>
            </w:r>
          </w:p>
        </w:tc>
      </w:tr>
    </w:tbl>
    <w:p w14:paraId="38F168D1"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0F076218"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04EEDD9"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Bei welchen Patienten wird die Methode angewandt (Indikation)?</w:t>
            </w:r>
          </w:p>
        </w:tc>
      </w:tr>
      <w:tr w:rsidR="00712FAB" w:rsidRPr="00283F92" w14:paraId="5D20EBD9" w14:textId="77777777" w:rsidTr="00712FAB">
        <w:trPr>
          <w:trHeight w:val="1291"/>
        </w:trPr>
        <w:tc>
          <w:tcPr>
            <w:tcW w:w="9215" w:type="dxa"/>
            <w:tcBorders>
              <w:top w:val="single" w:sz="4" w:space="0" w:color="000000"/>
              <w:left w:val="single" w:sz="4" w:space="0" w:color="000000"/>
              <w:bottom w:val="single" w:sz="4" w:space="0" w:color="000000"/>
              <w:right w:val="single" w:sz="4" w:space="0" w:color="000000"/>
            </w:tcBorders>
            <w:hideMark/>
          </w:tcPr>
          <w:p w14:paraId="294AF867"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Emicizumab wird angewendet als Routineprophylaxe von Blutungsereignissen bei Patienten mit Hamophilie A (hereditärer Faktor-VIII-Mangel):</w:t>
            </w:r>
          </w:p>
          <w:p w14:paraId="3C285E69" w14:textId="77777777" w:rsidR="00712FAB" w:rsidRPr="00283F92" w:rsidRDefault="00712FAB" w:rsidP="00283F92">
            <w:pPr>
              <w:numPr>
                <w:ilvl w:val="0"/>
                <w:numId w:val="1"/>
              </w:numPr>
              <w:spacing w:after="0"/>
              <w:rPr>
                <w:rFonts w:ascii="Arial Narrow" w:hAnsi="Arial Narrow"/>
                <w:sz w:val="22"/>
                <w:szCs w:val="22"/>
                <w:lang w:val="en-US"/>
              </w:rPr>
            </w:pPr>
            <w:r w:rsidRPr="00283F92">
              <w:rPr>
                <w:rFonts w:ascii="Arial Narrow" w:hAnsi="Arial Narrow"/>
                <w:sz w:val="22"/>
                <w:szCs w:val="22"/>
                <w:lang w:val="en-US"/>
              </w:rPr>
              <w:t>mit Faktor-VIII-Hemmkörpern</w:t>
            </w:r>
          </w:p>
          <w:p w14:paraId="73BAB78F" w14:textId="77777777" w:rsidR="00712FAB" w:rsidRPr="00283F92" w:rsidRDefault="00712FAB" w:rsidP="00283F92">
            <w:pPr>
              <w:numPr>
                <w:ilvl w:val="0"/>
                <w:numId w:val="1"/>
              </w:numPr>
              <w:spacing w:after="0"/>
              <w:rPr>
                <w:rFonts w:ascii="Arial Narrow" w:hAnsi="Arial Narrow"/>
                <w:sz w:val="22"/>
                <w:szCs w:val="22"/>
              </w:rPr>
            </w:pPr>
            <w:r w:rsidRPr="00283F92">
              <w:rPr>
                <w:rFonts w:ascii="Arial Narrow" w:hAnsi="Arial Narrow"/>
                <w:sz w:val="22"/>
                <w:szCs w:val="22"/>
              </w:rPr>
              <w:t>ohne Faktor-VIII-Hemmkörper bei schwerer Erkrankung (FVIII &lt; 1 %) oder bei mittelschwerer Erkrankung (Faktor VIII ≥1% und ≤5%) mit schwerem Blutungsphänotyp.</w:t>
            </w:r>
          </w:p>
        </w:tc>
      </w:tr>
    </w:tbl>
    <w:p w14:paraId="5304CA42"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421EF28D"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9D02B6D"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Welche bestehende Methode wird durch die neue Methode abgelöst oder ergänzt?</w:t>
            </w:r>
          </w:p>
        </w:tc>
      </w:tr>
      <w:tr w:rsidR="00712FAB" w:rsidRPr="00283F92" w14:paraId="549391FB" w14:textId="77777777" w:rsidTr="00712FAB">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384BF21A" w14:textId="7F30FEEB" w:rsidR="00712FAB" w:rsidRPr="00283F92" w:rsidRDefault="00712FAB" w:rsidP="00283F92">
            <w:pPr>
              <w:spacing w:after="0"/>
              <w:rPr>
                <w:rFonts w:ascii="Arial Narrow" w:hAnsi="Arial Narrow"/>
                <w:sz w:val="22"/>
                <w:szCs w:val="22"/>
              </w:rPr>
            </w:pPr>
            <w:r w:rsidRPr="00283F92">
              <w:rPr>
                <w:rFonts w:ascii="Arial Narrow" w:hAnsi="Arial Narrow"/>
                <w:sz w:val="22"/>
                <w:szCs w:val="22"/>
              </w:rPr>
              <w:t>Keine bzw. weniger Gaben von FVIII Bypass Präparaten (aktivierter Prothrombinkomplex (ZE30) bzw. re</w:t>
            </w:r>
            <w:r w:rsidR="004B1951">
              <w:rPr>
                <w:rFonts w:ascii="Arial Narrow" w:hAnsi="Arial Narrow"/>
                <w:sz w:val="22"/>
                <w:szCs w:val="22"/>
              </w:rPr>
              <w:t>kombinanter Faktor VIIa (ZE 2025</w:t>
            </w:r>
            <w:r w:rsidRPr="00283F92">
              <w:rPr>
                <w:rFonts w:ascii="Arial Narrow" w:hAnsi="Arial Narrow"/>
                <w:sz w:val="22"/>
                <w:szCs w:val="22"/>
              </w:rPr>
              <w:t>-137))</w:t>
            </w:r>
          </w:p>
        </w:tc>
      </w:tr>
    </w:tbl>
    <w:p w14:paraId="3C542F6A"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4AC622F7" w14:textId="77777777" w:rsidTr="00712FAB">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04ABB833"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Ist die Methode vollständig oder in Teilen neu und warum handelt es sich um eine neue Untersuchungs- und Behandlungsmethode?</w:t>
            </w:r>
          </w:p>
        </w:tc>
      </w:tr>
      <w:tr w:rsidR="00712FAB" w:rsidRPr="00283F92" w14:paraId="3EC401AF" w14:textId="77777777" w:rsidTr="00712FA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2E383E8A" w14:textId="2C5A0AF9" w:rsidR="00712FAB" w:rsidRPr="00283F92" w:rsidRDefault="00712FAB" w:rsidP="00283F92">
            <w:pPr>
              <w:spacing w:after="0"/>
              <w:rPr>
                <w:rFonts w:ascii="Arial Narrow" w:hAnsi="Arial Narrow"/>
                <w:sz w:val="22"/>
                <w:szCs w:val="22"/>
              </w:rPr>
            </w:pPr>
            <w:r w:rsidRPr="00283F92">
              <w:rPr>
                <w:rFonts w:ascii="Arial Narrow" w:hAnsi="Arial Narrow"/>
                <w:sz w:val="22"/>
                <w:szCs w:val="22"/>
              </w:rPr>
              <w:lastRenderedPageBreak/>
              <w:t>In den Informationen</w:t>
            </w:r>
            <w:r w:rsidR="004B1951">
              <w:rPr>
                <w:rFonts w:ascii="Arial Narrow" w:hAnsi="Arial Narrow"/>
                <w:sz w:val="22"/>
                <w:szCs w:val="22"/>
              </w:rPr>
              <w:t xml:space="preserve"> nach §6 Abs. 2 KHEntgG für 2025</w:t>
            </w:r>
            <w:r w:rsidRPr="00283F92">
              <w:rPr>
                <w:rFonts w:ascii="Arial Narrow" w:hAnsi="Arial Narrow"/>
                <w:sz w:val="22"/>
                <w:szCs w:val="22"/>
              </w:rPr>
              <w:t xml:space="preserve"> hat Emicizumab den Status 1.</w:t>
            </w:r>
          </w:p>
        </w:tc>
      </w:tr>
    </w:tbl>
    <w:p w14:paraId="00817058" w14:textId="77777777" w:rsidR="00712FAB" w:rsidRPr="00283F92" w:rsidRDefault="00712FAB" w:rsidP="00283F92">
      <w:pPr>
        <w:spacing w:after="0"/>
        <w:rPr>
          <w:rFonts w:ascii="Arial Narrow" w:hAnsi="Arial Narrow"/>
          <w:sz w:val="22"/>
          <w:szCs w:val="22"/>
        </w:rPr>
      </w:pPr>
    </w:p>
    <w:p w14:paraId="7E8A7A5A" w14:textId="77777777" w:rsidR="00125A2E" w:rsidRPr="00283F92" w:rsidRDefault="00125A2E"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4E43A836"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00BF8450"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Welche Auswirkungen hat die Methode auf die Verweildauer im Krankenhaus?</w:t>
            </w:r>
          </w:p>
        </w:tc>
      </w:tr>
      <w:tr w:rsidR="00712FAB" w:rsidRPr="00283F92" w14:paraId="4B94090D" w14:textId="77777777" w:rsidTr="00712FA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1498F8F8"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Zur Veränderung der Verweildauer im Krankenhaus können derzeit aufgrund fehlender Erfahrungen keine Aussagen gemacht werden.</w:t>
            </w:r>
          </w:p>
        </w:tc>
      </w:tr>
    </w:tbl>
    <w:p w14:paraId="092C1217" w14:textId="77777777" w:rsidR="00712FAB" w:rsidRPr="00283F92" w:rsidRDefault="00712FAB" w:rsidP="00283F92">
      <w:pPr>
        <w:spacing w:after="0"/>
        <w:rPr>
          <w:rFonts w:ascii="Arial Narrow" w:hAnsi="Arial Narrow"/>
          <w:sz w:val="22"/>
          <w:szCs w:val="22"/>
        </w:rPr>
      </w:pPr>
    </w:p>
    <w:tbl>
      <w:tblPr>
        <w:tblW w:w="921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00C28C2D" w14:textId="77777777" w:rsidTr="00712FA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7ABEB213"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Wann wurde diese Methode in Deutschland eingeführt?</w:t>
            </w:r>
          </w:p>
        </w:tc>
      </w:tr>
      <w:tr w:rsidR="00712FAB" w:rsidRPr="00283F92" w14:paraId="00C578D9"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28844D5"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2018</w:t>
            </w:r>
          </w:p>
        </w:tc>
      </w:tr>
      <w:tr w:rsidR="00712FAB" w:rsidRPr="00283F92" w14:paraId="230E4FCB"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3C8A5C93"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Bei Medikamenten: Wann wurde dieses Medikament zugelassen?</w:t>
            </w:r>
          </w:p>
        </w:tc>
      </w:tr>
      <w:tr w:rsidR="00712FAB" w:rsidRPr="00283F92" w14:paraId="67B208D5"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717D0CC"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23.08.2018</w:t>
            </w:r>
          </w:p>
        </w:tc>
      </w:tr>
    </w:tbl>
    <w:p w14:paraId="3409D4C8"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1C524C1D"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7834CABA"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Wann wurde bzw. wird die Methode in Ihrem Krankenhaus eingeführt?</w:t>
            </w:r>
          </w:p>
        </w:tc>
      </w:tr>
      <w:tr w:rsidR="00712FAB" w:rsidRPr="00283F92" w14:paraId="2FAB541E"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C3EC8D5"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w:t>
            </w:r>
            <w:r w:rsidRPr="00283F92">
              <w:rPr>
                <w:rFonts w:ascii="Arial Narrow" w:hAnsi="Arial Narrow"/>
                <w:sz w:val="22"/>
                <w:szCs w:val="22"/>
                <w:highlight w:val="yellow"/>
                <w:lang w:val="en-US"/>
              </w:rPr>
              <w:t>bitte ergänzen]</w:t>
            </w:r>
          </w:p>
        </w:tc>
      </w:tr>
    </w:tbl>
    <w:p w14:paraId="5AC6DA57"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062529C5"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9B31479"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In wie vielen Kliniken wird diese Methode derzeit eingesetzt (Schätzung)?</w:t>
            </w:r>
          </w:p>
        </w:tc>
      </w:tr>
      <w:tr w:rsidR="00712FAB" w:rsidRPr="00283F92" w14:paraId="1983A432" w14:textId="77777777" w:rsidTr="00712FAB">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5AC02CCD" w14:textId="1EA6E51E" w:rsidR="00712FAB" w:rsidRPr="00283F92" w:rsidRDefault="004B1951" w:rsidP="00283F92">
            <w:pPr>
              <w:spacing w:after="0"/>
              <w:rPr>
                <w:rFonts w:ascii="Arial Narrow" w:hAnsi="Arial Narrow"/>
                <w:sz w:val="22"/>
                <w:szCs w:val="22"/>
              </w:rPr>
            </w:pPr>
            <w:r>
              <w:rPr>
                <w:rFonts w:ascii="Arial Narrow" w:hAnsi="Arial Narrow"/>
                <w:sz w:val="22"/>
                <w:szCs w:val="22"/>
              </w:rPr>
              <w:t>Emicizumab wird in ca. 35</w:t>
            </w:r>
            <w:r w:rsidR="00712FAB" w:rsidRPr="00283F92">
              <w:rPr>
                <w:rFonts w:ascii="Arial Narrow" w:hAnsi="Arial Narrow"/>
                <w:sz w:val="22"/>
                <w:szCs w:val="22"/>
              </w:rPr>
              <w:t>0 Kliniken in Deutschland eingesetzt (Schätzung aufgrund der NUB-Anfragen des Vorjahres).</w:t>
            </w:r>
          </w:p>
        </w:tc>
      </w:tr>
    </w:tbl>
    <w:p w14:paraId="6A3EBEF8"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6BE8FE5E" w14:textId="77777777" w:rsidTr="00712FAB">
        <w:trPr>
          <w:trHeight w:val="252"/>
        </w:trPr>
        <w:tc>
          <w:tcPr>
            <w:tcW w:w="9215" w:type="dxa"/>
            <w:tcBorders>
              <w:top w:val="single" w:sz="4" w:space="0" w:color="000000"/>
              <w:left w:val="single" w:sz="4" w:space="0" w:color="000000"/>
              <w:bottom w:val="single" w:sz="4" w:space="0" w:color="000000"/>
              <w:right w:val="single" w:sz="4" w:space="0" w:color="000000"/>
            </w:tcBorders>
            <w:hideMark/>
          </w:tcPr>
          <w:p w14:paraId="043121C4" w14:textId="20308714"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Wie viele Patienten wurden in Ihrem Krankenhaus in 202</w:t>
            </w:r>
            <w:r w:rsidR="00E06F26">
              <w:rPr>
                <w:rFonts w:ascii="Arial Narrow" w:hAnsi="Arial Narrow"/>
                <w:b/>
                <w:sz w:val="22"/>
                <w:szCs w:val="22"/>
              </w:rPr>
              <w:t>4</w:t>
            </w:r>
            <w:r w:rsidRPr="00283F92">
              <w:rPr>
                <w:rFonts w:ascii="Arial Narrow" w:hAnsi="Arial Narrow"/>
                <w:b/>
                <w:sz w:val="22"/>
                <w:szCs w:val="22"/>
              </w:rPr>
              <w:t xml:space="preserve"> oder in 202</w:t>
            </w:r>
            <w:r w:rsidR="00E06F26">
              <w:rPr>
                <w:rFonts w:ascii="Arial Narrow" w:hAnsi="Arial Narrow"/>
                <w:b/>
                <w:sz w:val="22"/>
                <w:szCs w:val="22"/>
              </w:rPr>
              <w:t>5</w:t>
            </w:r>
            <w:r w:rsidRPr="00283F92">
              <w:rPr>
                <w:rFonts w:ascii="Arial Narrow" w:hAnsi="Arial Narrow"/>
                <w:b/>
                <w:sz w:val="22"/>
                <w:szCs w:val="22"/>
              </w:rPr>
              <w:t xml:space="preserve"> mit dieser Methode behandelt?</w:t>
            </w:r>
          </w:p>
        </w:tc>
      </w:tr>
      <w:tr w:rsidR="00712FAB" w:rsidRPr="00283F92" w14:paraId="37ADC5D3"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47355C1" w14:textId="00BAC144"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In 202</w:t>
            </w:r>
            <w:r w:rsidR="00E06F26">
              <w:rPr>
                <w:rFonts w:ascii="Arial Narrow" w:hAnsi="Arial Narrow"/>
                <w:sz w:val="22"/>
                <w:szCs w:val="22"/>
                <w:lang w:val="en-US"/>
              </w:rPr>
              <w:t>4</w:t>
            </w:r>
          </w:p>
        </w:tc>
      </w:tr>
      <w:tr w:rsidR="00712FAB" w:rsidRPr="00283F92" w14:paraId="0ECD3169"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08AFB08"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highlight w:val="yellow"/>
                <w:lang w:val="en-US"/>
              </w:rPr>
              <w:t>[bitte ergänzen]</w:t>
            </w:r>
          </w:p>
        </w:tc>
      </w:tr>
      <w:tr w:rsidR="00712FAB" w:rsidRPr="00283F92" w14:paraId="56A063ED"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0ED31E7" w14:textId="17950D9F"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In 202</w:t>
            </w:r>
            <w:r w:rsidR="009B67B3">
              <w:rPr>
                <w:rFonts w:ascii="Arial Narrow" w:hAnsi="Arial Narrow"/>
                <w:sz w:val="22"/>
                <w:szCs w:val="22"/>
                <w:lang w:val="en-US"/>
              </w:rPr>
              <w:t>5</w:t>
            </w:r>
          </w:p>
        </w:tc>
      </w:tr>
      <w:tr w:rsidR="00712FAB" w:rsidRPr="00283F92" w14:paraId="759AB594"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6226626C"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highlight w:val="yellow"/>
                <w:lang w:val="en-US"/>
              </w:rPr>
              <w:t>[bitte ergänzen]</w:t>
            </w:r>
          </w:p>
        </w:tc>
      </w:tr>
    </w:tbl>
    <w:p w14:paraId="4B34E1A1"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6CE684EC"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6C0C8DC" w14:textId="4C383DEA"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Wieviele Patienten planen Sie im Jahr 202</w:t>
            </w:r>
            <w:r w:rsidR="009B67B3">
              <w:rPr>
                <w:rFonts w:ascii="Arial Narrow" w:hAnsi="Arial Narrow"/>
                <w:b/>
                <w:sz w:val="22"/>
                <w:szCs w:val="22"/>
              </w:rPr>
              <w:t>6</w:t>
            </w:r>
            <w:r w:rsidRPr="00283F92">
              <w:rPr>
                <w:rFonts w:ascii="Arial Narrow" w:hAnsi="Arial Narrow"/>
                <w:b/>
                <w:sz w:val="22"/>
                <w:szCs w:val="22"/>
              </w:rPr>
              <w:t xml:space="preserve"> mit dieser Methode zu behandeln?</w:t>
            </w:r>
          </w:p>
        </w:tc>
      </w:tr>
      <w:tr w:rsidR="00712FAB" w:rsidRPr="00283F92" w14:paraId="5527BFC3"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62864C3E"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highlight w:val="yellow"/>
                <w:lang w:val="en-US"/>
              </w:rPr>
              <w:t>[bitte ergänzen]</w:t>
            </w:r>
          </w:p>
        </w:tc>
      </w:tr>
    </w:tbl>
    <w:p w14:paraId="2B3A2665"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605838BE" w14:textId="77777777" w:rsidTr="00712FA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10FD4BF9"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Entstehen durch die neue Methode Mehrkosten gegenüber dem bisher üblichen Verfahren? Wenn ja, wodurch? In welcher Höhe (möglichst aufgetrennt nach Personal- und Sachkosten)?</w:t>
            </w:r>
          </w:p>
        </w:tc>
      </w:tr>
      <w:tr w:rsidR="00712FAB" w:rsidRPr="00283F92" w14:paraId="4635E886" w14:textId="77777777" w:rsidTr="00283F92">
        <w:trPr>
          <w:trHeight w:val="4243"/>
        </w:trPr>
        <w:tc>
          <w:tcPr>
            <w:tcW w:w="9215" w:type="dxa"/>
            <w:tcBorders>
              <w:top w:val="single" w:sz="4" w:space="0" w:color="000000"/>
              <w:left w:val="single" w:sz="4" w:space="0" w:color="000000"/>
              <w:bottom w:val="single" w:sz="4" w:space="0" w:color="000000"/>
              <w:right w:val="single" w:sz="4" w:space="0" w:color="000000"/>
            </w:tcBorders>
            <w:hideMark/>
          </w:tcPr>
          <w:p w14:paraId="6C570A26"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Preis von Emicizumab: Rote Liste inkl. MWSt (AVP (EB) Stand 29.7.2025):</w:t>
            </w:r>
          </w:p>
          <w:p w14:paraId="622D53A1"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Emicizumab 12mg/0,4ml Dsfl.: 614,40 €</w:t>
            </w:r>
          </w:p>
          <w:p w14:paraId="7FEE4331"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Emicizumab 30mg/1ml Dsfl.: 1.519,00 €</w:t>
            </w:r>
          </w:p>
          <w:p w14:paraId="7294AABB"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Emicizumab. 60mg/0,4ml Dsfl.: 2.980,95 €</w:t>
            </w:r>
          </w:p>
          <w:p w14:paraId="4C66B28E"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Emicizumab. 105mg/0,7ml Dsfl.: 5.173,42 €</w:t>
            </w:r>
          </w:p>
          <w:p w14:paraId="1ADCDDB6"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Emicizumab. 150mg/1ml Dsfl.: 7.365,89 €</w:t>
            </w:r>
          </w:p>
          <w:p w14:paraId="263246B7"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Bei einer angenommenen Aufenthaltsdauer von 7 Tagen ist mit 1 Applikation /Aufenthalt zu rechnen.</w:t>
            </w:r>
          </w:p>
          <w:p w14:paraId="71CFABC6"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Kosten pro Applikation bei einem 70 kg schweren Patienten:</w:t>
            </w:r>
          </w:p>
          <w:p w14:paraId="46FDCE34"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Initialdosis 3mg/kg = 210 mg: 10.346,84 €</w:t>
            </w:r>
          </w:p>
          <w:p w14:paraId="11DC83B9"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Erhaltungsdosis 1,5mg/kg = 105 mg: 5.173,42 €</w:t>
            </w:r>
          </w:p>
          <w:p w14:paraId="53B61A16"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Personalkosten:</w:t>
            </w:r>
          </w:p>
          <w:p w14:paraId="0C139B95"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Für die Zubereitung: ca. 10 Minuten (MTD Apotheke)</w:t>
            </w:r>
          </w:p>
          <w:p w14:paraId="67445195"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Für die Applikation: ca. 5 Minuten (ÄD) und ca. 5 Minuten (PD)</w:t>
            </w:r>
          </w:p>
          <w:p w14:paraId="42FAB2A5"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Für die Überwachung: ca. 30 Minuten (PD), ca. 10 Minuten (ÄD)</w:t>
            </w:r>
          </w:p>
          <w:p w14:paraId="5C01A579" w14:textId="26A444E7" w:rsidR="00712FAB" w:rsidRPr="00283F92" w:rsidRDefault="004B1951" w:rsidP="004B1951">
            <w:pPr>
              <w:spacing w:after="0"/>
              <w:rPr>
                <w:rFonts w:ascii="Arial Narrow" w:hAnsi="Arial Narrow"/>
                <w:sz w:val="22"/>
                <w:szCs w:val="22"/>
              </w:rPr>
            </w:pPr>
            <w:r w:rsidRPr="004B1951">
              <w:rPr>
                <w:rFonts w:ascii="Arial Narrow" w:hAnsi="Arial Narrow"/>
                <w:sz w:val="22"/>
                <w:szCs w:val="22"/>
              </w:rPr>
              <w:t>Da das Medikament eine subkutane Dauertherapie ist, geschieht es eher selten, dass ein Patient für diese Gabe stationär behandelt wird und somit in eine organspezifische DRG gruppiert wird. Es kommt sehr viel häufiger vor, dass der Patient wegen einer anderen Erkrankung aufgenommen wird und dieses Medikament als seine Dauermedikation weiter erhält. Die Kosten für dieses Medika</w:t>
            </w:r>
            <w:bookmarkStart w:id="0" w:name="_GoBack"/>
            <w:bookmarkEnd w:id="0"/>
            <w:r w:rsidRPr="004B1951">
              <w:rPr>
                <w:rFonts w:ascii="Arial Narrow" w:hAnsi="Arial Narrow"/>
                <w:sz w:val="22"/>
                <w:szCs w:val="22"/>
              </w:rPr>
              <w:t>ment können daher in vielen DRGs vorkommen und sind möglicherweise auch nicht konkret dem Fall zugeordnet.</w:t>
            </w:r>
          </w:p>
        </w:tc>
      </w:tr>
    </w:tbl>
    <w:p w14:paraId="4E433484" w14:textId="77777777" w:rsidR="00283F92" w:rsidRPr="00283F92" w:rsidRDefault="00283F92"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1D80400A"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078F3F68"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Welche DRG(s) ist/sind am häufigsten von dieser Methode betroffen?</w:t>
            </w:r>
          </w:p>
        </w:tc>
      </w:tr>
      <w:tr w:rsidR="00712FAB" w:rsidRPr="00283F92" w14:paraId="27FF39D5"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tcPr>
          <w:p w14:paraId="3C27CE1E"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Q60C</w:t>
            </w:r>
          </w:p>
          <w:p w14:paraId="5E1B3122"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Q60D</w:t>
            </w:r>
          </w:p>
          <w:p w14:paraId="5C258F81" w14:textId="5438D631" w:rsidR="00712FAB" w:rsidRPr="00283F92" w:rsidRDefault="004B1951" w:rsidP="004B1951">
            <w:pPr>
              <w:spacing w:after="0"/>
              <w:rPr>
                <w:rFonts w:ascii="Arial Narrow" w:hAnsi="Arial Narrow"/>
                <w:sz w:val="22"/>
                <w:szCs w:val="22"/>
              </w:rPr>
            </w:pPr>
            <w:r w:rsidRPr="004B1951">
              <w:rPr>
                <w:rFonts w:ascii="Arial Narrow" w:hAnsi="Arial Narrow"/>
                <w:sz w:val="22"/>
                <w:szCs w:val="22"/>
              </w:rPr>
              <w:t>Q02C</w:t>
            </w:r>
          </w:p>
        </w:tc>
      </w:tr>
    </w:tbl>
    <w:p w14:paraId="1A05EDE3" w14:textId="77777777" w:rsidR="00712FAB" w:rsidRDefault="00712FAB" w:rsidP="00283F92">
      <w:pPr>
        <w:spacing w:after="0"/>
        <w:rPr>
          <w:rFonts w:ascii="Arial Narrow" w:hAnsi="Arial Narrow"/>
          <w:sz w:val="22"/>
          <w:szCs w:val="22"/>
        </w:rPr>
      </w:pPr>
    </w:p>
    <w:p w14:paraId="2AC5C667" w14:textId="77777777" w:rsidR="00283F92" w:rsidRPr="00283F92" w:rsidRDefault="00283F92"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637BF147"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5C7A8638"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Warum ist diese Methode aus Ihrer Sicht derzeit im G-DRG-System nicht sachgerecht abgebildet?</w:t>
            </w:r>
          </w:p>
        </w:tc>
      </w:tr>
      <w:tr w:rsidR="00712FAB" w:rsidRPr="00283F92" w14:paraId="4FACBCC6" w14:textId="77777777" w:rsidTr="00712FAB">
        <w:trPr>
          <w:trHeight w:val="2272"/>
        </w:trPr>
        <w:tc>
          <w:tcPr>
            <w:tcW w:w="9215" w:type="dxa"/>
            <w:tcBorders>
              <w:top w:val="single" w:sz="4" w:space="0" w:color="000000"/>
              <w:left w:val="single" w:sz="4" w:space="0" w:color="000000"/>
              <w:bottom w:val="single" w:sz="4" w:space="0" w:color="000000"/>
              <w:right w:val="single" w:sz="4" w:space="0" w:color="000000"/>
            </w:tcBorders>
            <w:hideMark/>
          </w:tcPr>
          <w:p w14:paraId="2B1A1182"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Emicizumab wurde im Jahr 2018 zugelassen und ist seitdem in Deutschland auf dem Markt.</w:t>
            </w:r>
          </w:p>
          <w:p w14:paraId="221E690B"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Für das Datenjahr 2024 sollten aus den Kalkulationshäusern Kostendaten für den Einsatz vorliegen.</w:t>
            </w:r>
          </w:p>
          <w:p w14:paraId="03B0830C"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Wir vermuten, dass die Stichprobe jedoch zu klein war, als dass genügend Kosten- und Leistungsinformationen aus den Krankenhäusern vorliegen, um damit eine sachgerechte Abbildung im G-DRG System 2026 zu ermöglichen.</w:t>
            </w:r>
          </w:p>
          <w:p w14:paraId="25A011BE"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Die zusätzlichen Kosten von bis zu ca. 5.170 bzw. 10.350 € pro Aufenthalt können aber mit der o.g. Fallpauschale allein nicht ausreichend abgebildet werden und Emicizumab ist bisher im ZE Katalog nicht enthalten.</w:t>
            </w:r>
          </w:p>
          <w:p w14:paraId="08D56A36" w14:textId="77777777" w:rsidR="004B1951" w:rsidRPr="004B1951" w:rsidRDefault="004B1951" w:rsidP="004B1951">
            <w:pPr>
              <w:spacing w:after="0"/>
              <w:rPr>
                <w:rFonts w:ascii="Arial Narrow" w:hAnsi="Arial Narrow"/>
                <w:sz w:val="22"/>
                <w:szCs w:val="22"/>
              </w:rPr>
            </w:pPr>
            <w:r w:rsidRPr="004B1951">
              <w:rPr>
                <w:rFonts w:ascii="Arial Narrow" w:hAnsi="Arial Narrow"/>
                <w:sz w:val="22"/>
                <w:szCs w:val="22"/>
              </w:rPr>
              <w:t>Aufgrund der hohen Kosten des Medikaments kommt es zu einer Unterfinanzierung in der/den betroffenen DRG.</w:t>
            </w:r>
          </w:p>
          <w:p w14:paraId="6CC1537C" w14:textId="7E585854" w:rsidR="00712FAB" w:rsidRPr="004B1951" w:rsidRDefault="004B1951" w:rsidP="004B1951">
            <w:pPr>
              <w:spacing w:after="0"/>
              <w:rPr>
                <w:rFonts w:ascii="Arial Narrow" w:hAnsi="Arial Narrow"/>
                <w:sz w:val="22"/>
                <w:szCs w:val="22"/>
              </w:rPr>
            </w:pPr>
            <w:r w:rsidRPr="004B1951">
              <w:rPr>
                <w:rFonts w:ascii="Arial Narrow" w:hAnsi="Arial Narrow"/>
                <w:sz w:val="22"/>
                <w:szCs w:val="22"/>
              </w:rPr>
              <w:t>Alternative Präparate (Gerinnungsfaktoren) sind als ZE vergütet.</w:t>
            </w:r>
          </w:p>
        </w:tc>
      </w:tr>
    </w:tbl>
    <w:p w14:paraId="3764C9FB" w14:textId="77777777" w:rsidR="00712FAB" w:rsidRDefault="00712FAB"/>
    <w:sectPr w:rsidR="00712FAB">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7AAA9" w14:textId="77777777" w:rsidR="00074961" w:rsidRDefault="00074961" w:rsidP="00712FAB">
      <w:pPr>
        <w:spacing w:after="0" w:line="240" w:lineRule="auto"/>
      </w:pPr>
      <w:r>
        <w:separator/>
      </w:r>
    </w:p>
  </w:endnote>
  <w:endnote w:type="continuationSeparator" w:id="0">
    <w:p w14:paraId="7953A592" w14:textId="77777777" w:rsidR="00074961" w:rsidRDefault="00074961" w:rsidP="0071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Aptos">
    <w:altName w:val="Times New Roman"/>
    <w:charset w:val="00"/>
    <w:family w:val="swiss"/>
    <w:pitch w:val="variable"/>
    <w:sig w:usb0="20000287" w:usb1="00000003" w:usb2="00000000"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30038" w14:textId="6B5ACE97" w:rsidR="00712FAB" w:rsidRPr="00BF74B9" w:rsidRDefault="00712FAB" w:rsidP="00712FAB">
    <w:pPr>
      <w:pStyle w:val="Fuzeile"/>
      <w:rPr>
        <w:rFonts w:ascii="Arial Narrow" w:hAnsi="Arial Narrow"/>
        <w:sz w:val="22"/>
        <w:szCs w:val="22"/>
      </w:rPr>
    </w:pPr>
    <w:r w:rsidRPr="00BF74B9">
      <w:rPr>
        <w:rFonts w:ascii="Arial Narrow" w:hAnsi="Arial Narrow"/>
        <w:sz w:val="22"/>
        <w:szCs w:val="22"/>
      </w:rPr>
      <w:t>NUB-Musteranfrage Emicizumab</w:t>
    </w:r>
  </w:p>
  <w:p w14:paraId="774C3694" w14:textId="77777777" w:rsidR="003715B4" w:rsidRPr="00BF74B9" w:rsidRDefault="004B1951" w:rsidP="00712FAB">
    <w:pPr>
      <w:pStyle w:val="Fuzeile"/>
      <w:rPr>
        <w:rFonts w:ascii="Arial Narrow" w:hAnsi="Arial Narrow"/>
        <w:sz w:val="22"/>
        <w:szCs w:val="22"/>
      </w:rPr>
    </w:pPr>
    <w:hyperlink r:id="rId1" w:history="1">
      <w:r w:rsidR="00712FAB" w:rsidRPr="00BF74B9">
        <w:rPr>
          <w:rStyle w:val="Hyperlink"/>
          <w:rFonts w:ascii="Arial Narrow" w:hAnsi="Arial Narrow"/>
          <w:sz w:val="22"/>
          <w:szCs w:val="22"/>
        </w:rPr>
        <w:t>Arbeitskreis DRG und Gesundheitsökonomie der Deutschen Gesellschaft für Hämatologie und medizinische Onkologie e.V.</w:t>
      </w:r>
    </w:hyperlink>
    <w:r w:rsidR="00712FAB" w:rsidRPr="00BF74B9">
      <w:rPr>
        <w:rFonts w:ascii="Arial Narrow" w:hAnsi="Arial Narrow"/>
        <w:sz w:val="22"/>
        <w:szCs w:val="22"/>
      </w:rPr>
      <w:t xml:space="preserve"> </w:t>
    </w:r>
  </w:p>
  <w:p w14:paraId="555C0CE1" w14:textId="3515FDF2" w:rsidR="00712FAB" w:rsidRPr="00BF74B9" w:rsidRDefault="004B1951" w:rsidP="00712FAB">
    <w:pPr>
      <w:pStyle w:val="Fuzeile"/>
      <w:rPr>
        <w:rFonts w:ascii="Arial Narrow" w:hAnsi="Arial Narrow"/>
        <w:sz w:val="22"/>
        <w:szCs w:val="22"/>
      </w:rPr>
    </w:pPr>
    <w:hyperlink r:id="rId2" w:history="1">
      <w:r w:rsidR="003715B4" w:rsidRPr="00BF74B9">
        <w:rPr>
          <w:rStyle w:val="Hyperlink"/>
          <w:rFonts w:ascii="Arial Narrow" w:hAnsi="Arial Narrow"/>
          <w:sz w:val="22"/>
          <w:szCs w:val="22"/>
        </w:rPr>
        <w:t>www.dgho.de</w:t>
      </w:r>
    </w:hyperlink>
  </w:p>
  <w:p w14:paraId="4766F7D8" w14:textId="3DF17CC0" w:rsidR="00712FAB" w:rsidRPr="00BF74B9" w:rsidRDefault="00712FAB" w:rsidP="00712FAB">
    <w:pPr>
      <w:pStyle w:val="Fuzeile"/>
      <w:rPr>
        <w:rFonts w:ascii="Arial Narrow" w:hAnsi="Arial Narrow"/>
        <w:sz w:val="22"/>
        <w:szCs w:val="22"/>
      </w:rPr>
    </w:pPr>
    <w:r w:rsidRPr="00BF74B9">
      <w:rPr>
        <w:rFonts w:ascii="Arial Narrow" w:hAnsi="Arial Narrow"/>
        <w:sz w:val="22"/>
        <w:szCs w:val="22"/>
      </w:rPr>
      <w:t xml:space="preserve">Seite </w:t>
    </w:r>
    <w:r w:rsidRPr="00BF74B9">
      <w:rPr>
        <w:rFonts w:ascii="Arial Narrow" w:hAnsi="Arial Narrow"/>
        <w:sz w:val="22"/>
        <w:szCs w:val="22"/>
      </w:rPr>
      <w:fldChar w:fldCharType="begin"/>
    </w:r>
    <w:r w:rsidRPr="00BF74B9">
      <w:rPr>
        <w:rFonts w:ascii="Arial Narrow" w:hAnsi="Arial Narrow"/>
        <w:sz w:val="22"/>
        <w:szCs w:val="22"/>
      </w:rPr>
      <w:instrText xml:space="preserve"> PAGE </w:instrText>
    </w:r>
    <w:r w:rsidRPr="00BF74B9">
      <w:rPr>
        <w:rFonts w:ascii="Arial Narrow" w:hAnsi="Arial Narrow"/>
        <w:sz w:val="22"/>
        <w:szCs w:val="22"/>
      </w:rPr>
      <w:fldChar w:fldCharType="separate"/>
    </w:r>
    <w:r w:rsidR="004B1951">
      <w:rPr>
        <w:rFonts w:ascii="Arial Narrow" w:hAnsi="Arial Narrow"/>
        <w:noProof/>
        <w:sz w:val="22"/>
        <w:szCs w:val="22"/>
      </w:rPr>
      <w:t>1</w:t>
    </w:r>
    <w:r w:rsidRPr="00BF74B9">
      <w:rPr>
        <w:rFonts w:ascii="Arial Narrow" w:hAnsi="Arial Narrow"/>
        <w:sz w:val="22"/>
        <w:szCs w:val="22"/>
      </w:rPr>
      <w:fldChar w:fldCharType="end"/>
    </w:r>
    <w:r w:rsidRPr="00BF74B9">
      <w:rPr>
        <w:rFonts w:ascii="Arial Narrow" w:hAnsi="Arial Narrow"/>
        <w:sz w:val="22"/>
        <w:szCs w:val="22"/>
      </w:rPr>
      <w:t xml:space="preserve"> von </w:t>
    </w:r>
    <w:r w:rsidR="00BF74B9" w:rsidRPr="00BF74B9">
      <w:rPr>
        <w:rFonts w:ascii="Arial Narrow" w:hAnsi="Arial Narrow"/>
        <w:sz w:val="22"/>
        <w:szCs w:val="22"/>
      </w:rPr>
      <w:fldChar w:fldCharType="begin"/>
    </w:r>
    <w:r w:rsidR="00BF74B9" w:rsidRPr="00BF74B9">
      <w:rPr>
        <w:rFonts w:ascii="Arial Narrow" w:hAnsi="Arial Narrow"/>
        <w:sz w:val="22"/>
        <w:szCs w:val="22"/>
      </w:rPr>
      <w:instrText xml:space="preserve"> NUMPAGES </w:instrText>
    </w:r>
    <w:r w:rsidR="00BF74B9" w:rsidRPr="00BF74B9">
      <w:rPr>
        <w:rFonts w:ascii="Arial Narrow" w:hAnsi="Arial Narrow"/>
        <w:sz w:val="22"/>
        <w:szCs w:val="22"/>
      </w:rPr>
      <w:fldChar w:fldCharType="separate"/>
    </w:r>
    <w:r w:rsidR="004B1951">
      <w:rPr>
        <w:rFonts w:ascii="Arial Narrow" w:hAnsi="Arial Narrow"/>
        <w:noProof/>
        <w:sz w:val="22"/>
        <w:szCs w:val="22"/>
      </w:rPr>
      <w:t>4</w:t>
    </w:r>
    <w:r w:rsidR="00BF74B9" w:rsidRPr="00BF74B9">
      <w:rPr>
        <w:rFonts w:ascii="Arial Narrow" w:hAnsi="Arial Narrow"/>
        <w:noProof/>
        <w:sz w:val="22"/>
        <w:szCs w:val="22"/>
      </w:rPr>
      <w:fldChar w:fldCharType="end"/>
    </w:r>
  </w:p>
  <w:p w14:paraId="471D323C" w14:textId="09C75DCC" w:rsidR="009539EB" w:rsidRPr="00BF74B9" w:rsidRDefault="004B1951" w:rsidP="00712FAB">
    <w:pPr>
      <w:pStyle w:val="Fuzeile"/>
      <w:rPr>
        <w:rFonts w:ascii="Arial Narrow" w:hAnsi="Arial Narrow"/>
        <w:sz w:val="22"/>
        <w:szCs w:val="22"/>
        <w:lang w:val="en-US"/>
      </w:rPr>
    </w:pPr>
    <w:r>
      <w:rPr>
        <w:rFonts w:ascii="Arial Narrow" w:hAnsi="Arial Narrow"/>
        <w:sz w:val="22"/>
        <w:szCs w:val="22"/>
        <w:lang w:val="en-US"/>
      </w:rPr>
      <w:t>26-052</w:t>
    </w:r>
    <w:r w:rsidR="00712FAB" w:rsidRPr="00BF74B9">
      <w:rPr>
        <w:rFonts w:ascii="Arial Narrow" w:hAnsi="Arial Narrow"/>
        <w:sz w:val="22"/>
        <w:szCs w:val="22"/>
        <w:lang w:val="en-US"/>
      </w:rPr>
      <w:t xml:space="preserve"> Emiciz</w:t>
    </w:r>
    <w:r>
      <w:rPr>
        <w:rFonts w:ascii="Arial Narrow" w:hAnsi="Arial Narrow"/>
        <w:sz w:val="22"/>
        <w:szCs w:val="22"/>
        <w:lang w:val="en-US"/>
      </w:rPr>
      <w:t>umab NUB-Anfrage-DGHO_Stand 2025-09-10</w:t>
    </w:r>
    <w:r w:rsidR="00712FAB" w:rsidRPr="00BF74B9">
      <w:rPr>
        <w:rFonts w:ascii="Arial Narrow" w:hAnsi="Arial Narrow"/>
        <w:sz w:val="22"/>
        <w:szCs w:val="22"/>
        <w:lang w:val="en-US"/>
      </w:rPr>
      <w:t xml:space="preserve"> final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0FB1E" w14:textId="77777777" w:rsidR="00074961" w:rsidRDefault="00074961" w:rsidP="00712FAB">
      <w:pPr>
        <w:spacing w:after="0" w:line="240" w:lineRule="auto"/>
      </w:pPr>
      <w:r>
        <w:separator/>
      </w:r>
    </w:p>
  </w:footnote>
  <w:footnote w:type="continuationSeparator" w:id="0">
    <w:p w14:paraId="0969C383" w14:textId="77777777" w:rsidR="00074961" w:rsidRDefault="00074961" w:rsidP="00712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1C453" w14:textId="7B216F57" w:rsidR="003F0E07" w:rsidRPr="006A7E7F" w:rsidRDefault="003F0E07" w:rsidP="003F0E07">
    <w:pPr>
      <w:pStyle w:val="Kopfzeile"/>
      <w:rPr>
        <w:rFonts w:ascii="Lucida Sans Unicode" w:hAnsi="Lucida Sans Unicode" w:cs="Lucida Sans Unicode"/>
        <w:sz w:val="48"/>
        <w:szCs w:val="48"/>
      </w:rPr>
    </w:pPr>
    <w:r w:rsidRPr="006A7E7F">
      <w:rPr>
        <w:rFonts w:ascii="Lucida Sans Unicode" w:hAnsi="Lucida Sans Unicode" w:cs="Lucida Sans Unicode"/>
        <w:sz w:val="48"/>
        <w:szCs w:val="48"/>
      </w:rPr>
      <w:t>NUB Antrag 202</w:t>
    </w:r>
    <w:r w:rsidR="00D92A21">
      <w:rPr>
        <w:rFonts w:ascii="Lucida Sans Unicode" w:hAnsi="Lucida Sans Unicode" w:cs="Lucida Sans Unicode"/>
        <w:sz w:val="48"/>
        <w:szCs w:val="48"/>
      </w:rPr>
      <w:t>5</w:t>
    </w:r>
    <w:r w:rsidRPr="006A7E7F">
      <w:rPr>
        <w:rFonts w:ascii="Lucida Sans Unicode" w:hAnsi="Lucida Sans Unicode" w:cs="Lucida Sans Unicode"/>
        <w:sz w:val="48"/>
        <w:szCs w:val="48"/>
      </w:rPr>
      <w:t>/202</w:t>
    </w:r>
    <w:r w:rsidR="00D92A21">
      <w:rPr>
        <w:rFonts w:ascii="Lucida Sans Unicode" w:hAnsi="Lucida Sans Unicode" w:cs="Lucida Sans Unicode"/>
        <w:sz w:val="48"/>
        <w:szCs w:val="48"/>
      </w:rPr>
      <w:t>6</w:t>
    </w:r>
  </w:p>
  <w:p w14:paraId="3CFBA38A" w14:textId="7BBDE175" w:rsidR="00853D5A" w:rsidRDefault="003F0E07" w:rsidP="003F0E07">
    <w:pPr>
      <w:pStyle w:val="Kopfzeile"/>
    </w:pPr>
    <w:r>
      <w:rPr>
        <w:rFonts w:ascii="Lucida Sans Unicode" w:hAnsi="Lucida Sans Unicode" w:cs="Lucida Sans Unicode"/>
        <w:sz w:val="48"/>
        <w:szCs w:val="48"/>
      </w:rPr>
      <w:t>Emi</w:t>
    </w:r>
    <w:r w:rsidRPr="006A7E7F">
      <w:rPr>
        <w:rFonts w:ascii="Lucida Sans Unicode" w:hAnsi="Lucida Sans Unicode" w:cs="Lucida Sans Unicode"/>
        <w:sz w:val="48"/>
        <w:szCs w:val="48"/>
      </w:rPr>
      <w:t>cizumab</w:t>
    </w:r>
  </w:p>
  <w:p w14:paraId="60469230" w14:textId="77777777" w:rsidR="00712FAB" w:rsidRDefault="00712F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17041"/>
    <w:multiLevelType w:val="hybridMultilevel"/>
    <w:tmpl w:val="70247D6E"/>
    <w:lvl w:ilvl="0" w:tplc="4F18C24A">
      <w:numFmt w:val="bullet"/>
      <w:lvlText w:val=""/>
      <w:lvlJc w:val="left"/>
      <w:pPr>
        <w:ind w:left="868" w:hanging="360"/>
      </w:pPr>
      <w:rPr>
        <w:rFonts w:ascii="Symbol" w:eastAsia="Symbol" w:hAnsi="Symbol" w:cs="Symbol" w:hint="default"/>
        <w:b w:val="0"/>
        <w:bCs w:val="0"/>
        <w:i w:val="0"/>
        <w:iCs w:val="0"/>
        <w:spacing w:val="0"/>
        <w:w w:val="100"/>
        <w:sz w:val="22"/>
        <w:szCs w:val="22"/>
        <w:lang w:val="de-DE" w:eastAsia="en-US" w:bidi="ar-SA"/>
      </w:rPr>
    </w:lvl>
    <w:lvl w:ilvl="1" w:tplc="463CCEEC">
      <w:numFmt w:val="bullet"/>
      <w:lvlText w:val="•"/>
      <w:lvlJc w:val="left"/>
      <w:pPr>
        <w:ind w:left="1694" w:hanging="360"/>
      </w:pPr>
      <w:rPr>
        <w:lang w:val="de-DE" w:eastAsia="en-US" w:bidi="ar-SA"/>
      </w:rPr>
    </w:lvl>
    <w:lvl w:ilvl="2" w:tplc="B3BA92C8">
      <w:numFmt w:val="bullet"/>
      <w:lvlText w:val="•"/>
      <w:lvlJc w:val="left"/>
      <w:pPr>
        <w:ind w:left="2529" w:hanging="360"/>
      </w:pPr>
      <w:rPr>
        <w:lang w:val="de-DE" w:eastAsia="en-US" w:bidi="ar-SA"/>
      </w:rPr>
    </w:lvl>
    <w:lvl w:ilvl="3" w:tplc="681A3FA6">
      <w:numFmt w:val="bullet"/>
      <w:lvlText w:val="•"/>
      <w:lvlJc w:val="left"/>
      <w:pPr>
        <w:ind w:left="3363" w:hanging="360"/>
      </w:pPr>
      <w:rPr>
        <w:lang w:val="de-DE" w:eastAsia="en-US" w:bidi="ar-SA"/>
      </w:rPr>
    </w:lvl>
    <w:lvl w:ilvl="4" w:tplc="3D400F82">
      <w:numFmt w:val="bullet"/>
      <w:lvlText w:val="•"/>
      <w:lvlJc w:val="left"/>
      <w:pPr>
        <w:ind w:left="4198" w:hanging="360"/>
      </w:pPr>
      <w:rPr>
        <w:lang w:val="de-DE" w:eastAsia="en-US" w:bidi="ar-SA"/>
      </w:rPr>
    </w:lvl>
    <w:lvl w:ilvl="5" w:tplc="2E328BB4">
      <w:numFmt w:val="bullet"/>
      <w:lvlText w:val="•"/>
      <w:lvlJc w:val="left"/>
      <w:pPr>
        <w:ind w:left="5032" w:hanging="360"/>
      </w:pPr>
      <w:rPr>
        <w:lang w:val="de-DE" w:eastAsia="en-US" w:bidi="ar-SA"/>
      </w:rPr>
    </w:lvl>
    <w:lvl w:ilvl="6" w:tplc="127ED028">
      <w:numFmt w:val="bullet"/>
      <w:lvlText w:val="•"/>
      <w:lvlJc w:val="left"/>
      <w:pPr>
        <w:ind w:left="5867" w:hanging="360"/>
      </w:pPr>
      <w:rPr>
        <w:lang w:val="de-DE" w:eastAsia="en-US" w:bidi="ar-SA"/>
      </w:rPr>
    </w:lvl>
    <w:lvl w:ilvl="7" w:tplc="0E06522A">
      <w:numFmt w:val="bullet"/>
      <w:lvlText w:val="•"/>
      <w:lvlJc w:val="left"/>
      <w:pPr>
        <w:ind w:left="6701" w:hanging="360"/>
      </w:pPr>
      <w:rPr>
        <w:lang w:val="de-DE" w:eastAsia="en-US" w:bidi="ar-SA"/>
      </w:rPr>
    </w:lvl>
    <w:lvl w:ilvl="8" w:tplc="8678527A">
      <w:numFmt w:val="bullet"/>
      <w:lvlText w:val="•"/>
      <w:lvlJc w:val="left"/>
      <w:pPr>
        <w:ind w:left="7536" w:hanging="360"/>
      </w:pPr>
      <w:rPr>
        <w:lang w:val="de-DE"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AB"/>
    <w:rsid w:val="00074961"/>
    <w:rsid w:val="001016D5"/>
    <w:rsid w:val="00125A2E"/>
    <w:rsid w:val="00257D85"/>
    <w:rsid w:val="00283F92"/>
    <w:rsid w:val="00287293"/>
    <w:rsid w:val="003715B4"/>
    <w:rsid w:val="003D43AB"/>
    <w:rsid w:val="003F0E07"/>
    <w:rsid w:val="004B1951"/>
    <w:rsid w:val="00501895"/>
    <w:rsid w:val="00624371"/>
    <w:rsid w:val="006827FC"/>
    <w:rsid w:val="00712FAB"/>
    <w:rsid w:val="00853D5A"/>
    <w:rsid w:val="00880256"/>
    <w:rsid w:val="009539EB"/>
    <w:rsid w:val="009B67B3"/>
    <w:rsid w:val="00BA2E4F"/>
    <w:rsid w:val="00BF74B9"/>
    <w:rsid w:val="00CF16D2"/>
    <w:rsid w:val="00D73202"/>
    <w:rsid w:val="00D92A21"/>
    <w:rsid w:val="00E06F26"/>
    <w:rsid w:val="00E80AB8"/>
    <w:rsid w:val="00E94B8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E33B5"/>
  <w15:chartTrackingRefBased/>
  <w15:docId w15:val="{5B825C6D-30AC-45F7-8C77-F69C25DC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712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12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12FA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12FA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12FA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12FA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12FA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12FA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12FA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2FA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12FA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12FA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12FA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12FA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12FA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12FA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12FA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12FAB"/>
    <w:rPr>
      <w:rFonts w:eastAsiaTheme="majorEastAsia" w:cstheme="majorBidi"/>
      <w:color w:val="272727" w:themeColor="text1" w:themeTint="D8"/>
    </w:rPr>
  </w:style>
  <w:style w:type="paragraph" w:styleId="Titel">
    <w:name w:val="Title"/>
    <w:basedOn w:val="Standard"/>
    <w:next w:val="Standard"/>
    <w:link w:val="TitelZchn"/>
    <w:uiPriority w:val="10"/>
    <w:qFormat/>
    <w:rsid w:val="00712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2FA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12FA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12FA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12FA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12FAB"/>
    <w:rPr>
      <w:i/>
      <w:iCs/>
      <w:color w:val="404040" w:themeColor="text1" w:themeTint="BF"/>
    </w:rPr>
  </w:style>
  <w:style w:type="paragraph" w:styleId="Listenabsatz">
    <w:name w:val="List Paragraph"/>
    <w:basedOn w:val="Standard"/>
    <w:uiPriority w:val="34"/>
    <w:qFormat/>
    <w:rsid w:val="00712FAB"/>
    <w:pPr>
      <w:ind w:left="720"/>
      <w:contextualSpacing/>
    </w:pPr>
  </w:style>
  <w:style w:type="character" w:styleId="IntensiveHervorhebung">
    <w:name w:val="Intense Emphasis"/>
    <w:basedOn w:val="Absatz-Standardschriftart"/>
    <w:uiPriority w:val="21"/>
    <w:qFormat/>
    <w:rsid w:val="00712FAB"/>
    <w:rPr>
      <w:i/>
      <w:iCs/>
      <w:color w:val="0F4761" w:themeColor="accent1" w:themeShade="BF"/>
    </w:rPr>
  </w:style>
  <w:style w:type="paragraph" w:styleId="IntensivesZitat">
    <w:name w:val="Intense Quote"/>
    <w:basedOn w:val="Standard"/>
    <w:next w:val="Standard"/>
    <w:link w:val="IntensivesZitatZchn"/>
    <w:uiPriority w:val="30"/>
    <w:qFormat/>
    <w:rsid w:val="00712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12FAB"/>
    <w:rPr>
      <w:i/>
      <w:iCs/>
      <w:color w:val="0F4761" w:themeColor="accent1" w:themeShade="BF"/>
    </w:rPr>
  </w:style>
  <w:style w:type="character" w:styleId="IntensiverVerweis">
    <w:name w:val="Intense Reference"/>
    <w:basedOn w:val="Absatz-Standardschriftart"/>
    <w:uiPriority w:val="32"/>
    <w:qFormat/>
    <w:rsid w:val="00712FAB"/>
    <w:rPr>
      <w:b/>
      <w:bCs/>
      <w:smallCaps/>
      <w:color w:val="0F4761" w:themeColor="accent1" w:themeShade="BF"/>
      <w:spacing w:val="5"/>
    </w:rPr>
  </w:style>
  <w:style w:type="character" w:styleId="Hyperlink">
    <w:name w:val="Hyperlink"/>
    <w:basedOn w:val="Absatz-Standardschriftart"/>
    <w:uiPriority w:val="99"/>
    <w:unhideWhenUsed/>
    <w:rsid w:val="00712FAB"/>
    <w:rPr>
      <w:color w:val="467886" w:themeColor="hyperlink"/>
      <w:u w:val="single"/>
    </w:rPr>
  </w:style>
  <w:style w:type="character" w:customStyle="1" w:styleId="NichtaufgelsteErwhnung1">
    <w:name w:val="Nicht aufgelöste Erwähnung1"/>
    <w:basedOn w:val="Absatz-Standardschriftart"/>
    <w:uiPriority w:val="99"/>
    <w:semiHidden/>
    <w:unhideWhenUsed/>
    <w:rsid w:val="00712FAB"/>
    <w:rPr>
      <w:color w:val="605E5C"/>
      <w:shd w:val="clear" w:color="auto" w:fill="E1DFDD"/>
    </w:rPr>
  </w:style>
  <w:style w:type="paragraph" w:styleId="Kopfzeile">
    <w:name w:val="header"/>
    <w:basedOn w:val="Standard"/>
    <w:link w:val="KopfzeileZchn"/>
    <w:uiPriority w:val="99"/>
    <w:unhideWhenUsed/>
    <w:rsid w:val="00712F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2FAB"/>
  </w:style>
  <w:style w:type="paragraph" w:styleId="Fuzeile">
    <w:name w:val="footer"/>
    <w:basedOn w:val="Standard"/>
    <w:link w:val="FuzeileZchn"/>
    <w:uiPriority w:val="99"/>
    <w:unhideWhenUsed/>
    <w:rsid w:val="00712F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2FAB"/>
  </w:style>
  <w:style w:type="paragraph" w:styleId="Textkrper">
    <w:name w:val="Body Text"/>
    <w:basedOn w:val="Standard"/>
    <w:link w:val="TextkrperZchn"/>
    <w:uiPriority w:val="99"/>
    <w:semiHidden/>
    <w:unhideWhenUsed/>
    <w:rsid w:val="00712FAB"/>
    <w:pPr>
      <w:spacing w:after="120"/>
    </w:pPr>
  </w:style>
  <w:style w:type="character" w:customStyle="1" w:styleId="TextkrperZchn">
    <w:name w:val="Textkörper Zchn"/>
    <w:basedOn w:val="Absatz-Standardschriftart"/>
    <w:link w:val="Textkrper"/>
    <w:uiPriority w:val="99"/>
    <w:semiHidden/>
    <w:rsid w:val="00712FAB"/>
  </w:style>
  <w:style w:type="paragraph" w:styleId="berarbeitung">
    <w:name w:val="Revision"/>
    <w:hidden/>
    <w:uiPriority w:val="99"/>
    <w:semiHidden/>
    <w:rsid w:val="00E80A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960">
      <w:bodyDiv w:val="1"/>
      <w:marLeft w:val="0"/>
      <w:marRight w:val="0"/>
      <w:marTop w:val="0"/>
      <w:marBottom w:val="0"/>
      <w:divBdr>
        <w:top w:val="none" w:sz="0" w:space="0" w:color="auto"/>
        <w:left w:val="none" w:sz="0" w:space="0" w:color="auto"/>
        <w:bottom w:val="none" w:sz="0" w:space="0" w:color="auto"/>
        <w:right w:val="none" w:sz="0" w:space="0" w:color="auto"/>
      </w:divBdr>
    </w:div>
    <w:div w:id="252204601">
      <w:bodyDiv w:val="1"/>
      <w:marLeft w:val="0"/>
      <w:marRight w:val="0"/>
      <w:marTop w:val="0"/>
      <w:marBottom w:val="0"/>
      <w:divBdr>
        <w:top w:val="none" w:sz="0" w:space="0" w:color="auto"/>
        <w:left w:val="none" w:sz="0" w:space="0" w:color="auto"/>
        <w:bottom w:val="none" w:sz="0" w:space="0" w:color="auto"/>
        <w:right w:val="none" w:sz="0" w:space="0" w:color="auto"/>
      </w:divBdr>
    </w:div>
    <w:div w:id="470557549">
      <w:bodyDiv w:val="1"/>
      <w:marLeft w:val="0"/>
      <w:marRight w:val="0"/>
      <w:marTop w:val="0"/>
      <w:marBottom w:val="0"/>
      <w:divBdr>
        <w:top w:val="none" w:sz="0" w:space="0" w:color="auto"/>
        <w:left w:val="none" w:sz="0" w:space="0" w:color="auto"/>
        <w:bottom w:val="none" w:sz="0" w:space="0" w:color="auto"/>
        <w:right w:val="none" w:sz="0" w:space="0" w:color="auto"/>
      </w:divBdr>
    </w:div>
    <w:div w:id="506596230">
      <w:bodyDiv w:val="1"/>
      <w:marLeft w:val="0"/>
      <w:marRight w:val="0"/>
      <w:marTop w:val="0"/>
      <w:marBottom w:val="0"/>
      <w:divBdr>
        <w:top w:val="none" w:sz="0" w:space="0" w:color="auto"/>
        <w:left w:val="none" w:sz="0" w:space="0" w:color="auto"/>
        <w:bottom w:val="none" w:sz="0" w:space="0" w:color="auto"/>
        <w:right w:val="none" w:sz="0" w:space="0" w:color="auto"/>
      </w:divBdr>
    </w:div>
    <w:div w:id="530724071">
      <w:bodyDiv w:val="1"/>
      <w:marLeft w:val="0"/>
      <w:marRight w:val="0"/>
      <w:marTop w:val="0"/>
      <w:marBottom w:val="0"/>
      <w:divBdr>
        <w:top w:val="none" w:sz="0" w:space="0" w:color="auto"/>
        <w:left w:val="none" w:sz="0" w:space="0" w:color="auto"/>
        <w:bottom w:val="none" w:sz="0" w:space="0" w:color="auto"/>
        <w:right w:val="none" w:sz="0" w:space="0" w:color="auto"/>
      </w:divBdr>
    </w:div>
    <w:div w:id="910852008">
      <w:bodyDiv w:val="1"/>
      <w:marLeft w:val="0"/>
      <w:marRight w:val="0"/>
      <w:marTop w:val="0"/>
      <w:marBottom w:val="0"/>
      <w:divBdr>
        <w:top w:val="none" w:sz="0" w:space="0" w:color="auto"/>
        <w:left w:val="none" w:sz="0" w:space="0" w:color="auto"/>
        <w:bottom w:val="none" w:sz="0" w:space="0" w:color="auto"/>
        <w:right w:val="none" w:sz="0" w:space="0" w:color="auto"/>
      </w:divBdr>
    </w:div>
    <w:div w:id="929046273">
      <w:bodyDiv w:val="1"/>
      <w:marLeft w:val="0"/>
      <w:marRight w:val="0"/>
      <w:marTop w:val="0"/>
      <w:marBottom w:val="0"/>
      <w:divBdr>
        <w:top w:val="none" w:sz="0" w:space="0" w:color="auto"/>
        <w:left w:val="none" w:sz="0" w:space="0" w:color="auto"/>
        <w:bottom w:val="none" w:sz="0" w:space="0" w:color="auto"/>
        <w:right w:val="none" w:sz="0" w:space="0" w:color="auto"/>
      </w:divBdr>
    </w:div>
    <w:div w:id="1090589227">
      <w:bodyDiv w:val="1"/>
      <w:marLeft w:val="0"/>
      <w:marRight w:val="0"/>
      <w:marTop w:val="0"/>
      <w:marBottom w:val="0"/>
      <w:divBdr>
        <w:top w:val="none" w:sz="0" w:space="0" w:color="auto"/>
        <w:left w:val="none" w:sz="0" w:space="0" w:color="auto"/>
        <w:bottom w:val="none" w:sz="0" w:space="0" w:color="auto"/>
        <w:right w:val="none" w:sz="0" w:space="0" w:color="auto"/>
      </w:divBdr>
    </w:div>
    <w:div w:id="1184051526">
      <w:bodyDiv w:val="1"/>
      <w:marLeft w:val="0"/>
      <w:marRight w:val="0"/>
      <w:marTop w:val="0"/>
      <w:marBottom w:val="0"/>
      <w:divBdr>
        <w:top w:val="none" w:sz="0" w:space="0" w:color="auto"/>
        <w:left w:val="none" w:sz="0" w:space="0" w:color="auto"/>
        <w:bottom w:val="none" w:sz="0" w:space="0" w:color="auto"/>
        <w:right w:val="none" w:sz="0" w:space="0" w:color="auto"/>
      </w:divBdr>
    </w:div>
    <w:div w:id="1209296341">
      <w:bodyDiv w:val="1"/>
      <w:marLeft w:val="0"/>
      <w:marRight w:val="0"/>
      <w:marTop w:val="0"/>
      <w:marBottom w:val="0"/>
      <w:divBdr>
        <w:top w:val="none" w:sz="0" w:space="0" w:color="auto"/>
        <w:left w:val="none" w:sz="0" w:space="0" w:color="auto"/>
        <w:bottom w:val="none" w:sz="0" w:space="0" w:color="auto"/>
        <w:right w:val="none" w:sz="0" w:space="0" w:color="auto"/>
      </w:divBdr>
    </w:div>
    <w:div w:id="1242104386">
      <w:bodyDiv w:val="1"/>
      <w:marLeft w:val="0"/>
      <w:marRight w:val="0"/>
      <w:marTop w:val="0"/>
      <w:marBottom w:val="0"/>
      <w:divBdr>
        <w:top w:val="none" w:sz="0" w:space="0" w:color="auto"/>
        <w:left w:val="none" w:sz="0" w:space="0" w:color="auto"/>
        <w:bottom w:val="none" w:sz="0" w:space="0" w:color="auto"/>
        <w:right w:val="none" w:sz="0" w:space="0" w:color="auto"/>
      </w:divBdr>
    </w:div>
    <w:div w:id="1310555462">
      <w:bodyDiv w:val="1"/>
      <w:marLeft w:val="0"/>
      <w:marRight w:val="0"/>
      <w:marTop w:val="0"/>
      <w:marBottom w:val="0"/>
      <w:divBdr>
        <w:top w:val="none" w:sz="0" w:space="0" w:color="auto"/>
        <w:left w:val="none" w:sz="0" w:space="0" w:color="auto"/>
        <w:bottom w:val="none" w:sz="0" w:space="0" w:color="auto"/>
        <w:right w:val="none" w:sz="0" w:space="0" w:color="auto"/>
      </w:divBdr>
    </w:div>
    <w:div w:id="1319382969">
      <w:bodyDiv w:val="1"/>
      <w:marLeft w:val="0"/>
      <w:marRight w:val="0"/>
      <w:marTop w:val="0"/>
      <w:marBottom w:val="0"/>
      <w:divBdr>
        <w:top w:val="none" w:sz="0" w:space="0" w:color="auto"/>
        <w:left w:val="none" w:sz="0" w:space="0" w:color="auto"/>
        <w:bottom w:val="none" w:sz="0" w:space="0" w:color="auto"/>
        <w:right w:val="none" w:sz="0" w:space="0" w:color="auto"/>
      </w:divBdr>
    </w:div>
    <w:div w:id="1324697949">
      <w:bodyDiv w:val="1"/>
      <w:marLeft w:val="0"/>
      <w:marRight w:val="0"/>
      <w:marTop w:val="0"/>
      <w:marBottom w:val="0"/>
      <w:divBdr>
        <w:top w:val="none" w:sz="0" w:space="0" w:color="auto"/>
        <w:left w:val="none" w:sz="0" w:space="0" w:color="auto"/>
        <w:bottom w:val="none" w:sz="0" w:space="0" w:color="auto"/>
        <w:right w:val="none" w:sz="0" w:space="0" w:color="auto"/>
      </w:divBdr>
    </w:div>
    <w:div w:id="1431312100">
      <w:bodyDiv w:val="1"/>
      <w:marLeft w:val="0"/>
      <w:marRight w:val="0"/>
      <w:marTop w:val="0"/>
      <w:marBottom w:val="0"/>
      <w:divBdr>
        <w:top w:val="none" w:sz="0" w:space="0" w:color="auto"/>
        <w:left w:val="none" w:sz="0" w:space="0" w:color="auto"/>
        <w:bottom w:val="none" w:sz="0" w:space="0" w:color="auto"/>
        <w:right w:val="none" w:sz="0" w:space="0" w:color="auto"/>
      </w:divBdr>
    </w:div>
    <w:div w:id="1545483581">
      <w:bodyDiv w:val="1"/>
      <w:marLeft w:val="0"/>
      <w:marRight w:val="0"/>
      <w:marTop w:val="0"/>
      <w:marBottom w:val="0"/>
      <w:divBdr>
        <w:top w:val="none" w:sz="0" w:space="0" w:color="auto"/>
        <w:left w:val="none" w:sz="0" w:space="0" w:color="auto"/>
        <w:bottom w:val="none" w:sz="0" w:space="0" w:color="auto"/>
        <w:right w:val="none" w:sz="0" w:space="0" w:color="auto"/>
      </w:divBdr>
    </w:div>
    <w:div w:id="1803812903">
      <w:bodyDiv w:val="1"/>
      <w:marLeft w:val="0"/>
      <w:marRight w:val="0"/>
      <w:marTop w:val="0"/>
      <w:marBottom w:val="0"/>
      <w:divBdr>
        <w:top w:val="none" w:sz="0" w:space="0" w:color="auto"/>
        <w:left w:val="none" w:sz="0" w:space="0" w:color="auto"/>
        <w:bottom w:val="none" w:sz="0" w:space="0" w:color="auto"/>
        <w:right w:val="none" w:sz="0" w:space="0" w:color="auto"/>
      </w:divBdr>
    </w:div>
    <w:div w:id="1810708882">
      <w:bodyDiv w:val="1"/>
      <w:marLeft w:val="0"/>
      <w:marRight w:val="0"/>
      <w:marTop w:val="0"/>
      <w:marBottom w:val="0"/>
      <w:divBdr>
        <w:top w:val="none" w:sz="0" w:space="0" w:color="auto"/>
        <w:left w:val="none" w:sz="0" w:space="0" w:color="auto"/>
        <w:bottom w:val="none" w:sz="0" w:space="0" w:color="auto"/>
        <w:right w:val="none" w:sz="0" w:space="0" w:color="auto"/>
      </w:divBdr>
    </w:div>
    <w:div w:id="1838380532">
      <w:bodyDiv w:val="1"/>
      <w:marLeft w:val="0"/>
      <w:marRight w:val="0"/>
      <w:marTop w:val="0"/>
      <w:marBottom w:val="0"/>
      <w:divBdr>
        <w:top w:val="none" w:sz="0" w:space="0" w:color="auto"/>
        <w:left w:val="none" w:sz="0" w:space="0" w:color="auto"/>
        <w:bottom w:val="none" w:sz="0" w:space="0" w:color="auto"/>
        <w:right w:val="none" w:sz="0" w:space="0" w:color="auto"/>
      </w:divBdr>
    </w:div>
    <w:div w:id="1919628967">
      <w:bodyDiv w:val="1"/>
      <w:marLeft w:val="0"/>
      <w:marRight w:val="0"/>
      <w:marTop w:val="0"/>
      <w:marBottom w:val="0"/>
      <w:divBdr>
        <w:top w:val="none" w:sz="0" w:space="0" w:color="auto"/>
        <w:left w:val="none" w:sz="0" w:space="0" w:color="auto"/>
        <w:bottom w:val="none" w:sz="0" w:space="0" w:color="auto"/>
        <w:right w:val="none" w:sz="0" w:space="0" w:color="auto"/>
      </w:divBdr>
    </w:div>
    <w:div w:id="2106800164">
      <w:bodyDiv w:val="1"/>
      <w:marLeft w:val="0"/>
      <w:marRight w:val="0"/>
      <w:marTop w:val="0"/>
      <w:marBottom w:val="0"/>
      <w:divBdr>
        <w:top w:val="none" w:sz="0" w:space="0" w:color="auto"/>
        <w:left w:val="none" w:sz="0" w:space="0" w:color="auto"/>
        <w:bottom w:val="none" w:sz="0" w:space="0" w:color="auto"/>
        <w:right w:val="none" w:sz="0" w:space="0" w:color="auto"/>
      </w:divBdr>
    </w:div>
    <w:div w:id="211539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localhost\C:\wiki\Monoklonaler_Antik%25C3%25B6rper"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file:///\\localhost\C:\wiki\Bispezifischer_Antik%25C3%25B6rp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http://www.dgho.de" TargetMode="External"/><Relationship Id="rId1" Type="http://schemas.openxmlformats.org/officeDocument/2006/relationships/hyperlink" Target="http://www.dgho.de/_cmsdata/_cache/cms_19.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8E6F4DD6-3B88-470C-80AF-D6DE449F3291}"/>
</file>

<file path=customXml/itemProps2.xml><?xml version="1.0" encoding="utf-8"?>
<ds:datastoreItem xmlns:ds="http://schemas.openxmlformats.org/officeDocument/2006/customXml" ds:itemID="{68A9693C-FAA5-4D9A-832A-E8088BF227F1}"/>
</file>

<file path=customXml/itemProps3.xml><?xml version="1.0" encoding="utf-8"?>
<ds:datastoreItem xmlns:ds="http://schemas.openxmlformats.org/officeDocument/2006/customXml" ds:itemID="{C1A1B149-856A-43D3-A9EB-F127F66D70A4}"/>
</file>

<file path=docProps/app.xml><?xml version="1.0" encoding="utf-8"?>
<Properties xmlns="http://schemas.openxmlformats.org/officeDocument/2006/extended-properties" xmlns:vt="http://schemas.openxmlformats.org/officeDocument/2006/docPropsVTypes">
  <Template>Normal.dotm</Template>
  <TotalTime>0</TotalTime>
  <Pages>4</Pages>
  <Words>1003</Words>
  <Characters>6325</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Quadflieg, Manuela</dc:creator>
  <cp:keywords/>
  <dc:description/>
  <cp:lastModifiedBy>Kontny, Udo</cp:lastModifiedBy>
  <cp:revision>2</cp:revision>
  <dcterms:created xsi:type="dcterms:W3CDTF">2025-10-11T13:24:00Z</dcterms:created>
  <dcterms:modified xsi:type="dcterms:W3CDTF">2025-10-11T13:24:00Z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