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7416B296"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7E3FE3E5"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Haben Sie externe Hilfestellungen zum Ausfüllen der Formblätter in Anspruch genommen? Wenn ja, bitte geben Sie an, welche Hilfestellung Sie in Anspruch genommen haben?</w:t>
            </w:r>
          </w:p>
        </w:tc>
      </w:tr>
      <w:tr w:rsidR="006A7E7F" w:rsidRPr="006A7E7F" w14:paraId="6FFB1710" w14:textId="77777777" w:rsidTr="006A7E7F">
        <w:trPr>
          <w:trHeight w:val="504"/>
        </w:trPr>
        <w:tc>
          <w:tcPr>
            <w:tcW w:w="9215" w:type="dxa"/>
            <w:tcBorders>
              <w:top w:val="single" w:sz="4" w:space="0" w:color="000000"/>
              <w:left w:val="single" w:sz="4" w:space="0" w:color="000000"/>
              <w:bottom w:val="single" w:sz="4" w:space="0" w:color="000000"/>
              <w:right w:val="single" w:sz="4" w:space="0" w:color="000000"/>
            </w:tcBorders>
            <w:hideMark/>
          </w:tcPr>
          <w:p w14:paraId="25CE2200" w14:textId="72AE7CF7" w:rsidR="006A7E7F" w:rsidRPr="006A7E7F" w:rsidRDefault="006A7E7F" w:rsidP="006A7E7F">
            <w:pPr>
              <w:spacing w:after="0"/>
              <w:rPr>
                <w:rFonts w:ascii="Arial Narrow" w:hAnsi="Arial Narrow"/>
                <w:sz w:val="22"/>
                <w:szCs w:val="22"/>
              </w:rPr>
            </w:pPr>
            <w:r w:rsidRPr="006A7E7F">
              <w:rPr>
                <w:rFonts w:ascii="Arial Narrow" w:hAnsi="Arial Narrow"/>
                <w:sz w:val="22"/>
                <w:szCs w:val="22"/>
              </w:rPr>
              <w:t>Dieser Antrag wurde durch die deutsche Gesellschaft für Hämatologie und medizinische Onkologie e.V. vorformulier</w:t>
            </w:r>
            <w:r w:rsidR="009E524A">
              <w:rPr>
                <w:rFonts w:ascii="Arial Narrow" w:hAnsi="Arial Narrow"/>
                <w:sz w:val="22"/>
                <w:szCs w:val="22"/>
              </w:rPr>
              <w:t>t</w:t>
            </w:r>
            <w:r w:rsidR="00254FED">
              <w:rPr>
                <w:rFonts w:ascii="Arial Narrow" w:hAnsi="Arial Narrow"/>
                <w:sz w:val="22"/>
                <w:szCs w:val="22"/>
              </w:rPr>
              <w:t xml:space="preserve"> und wird durch die Gesellschaft für Pädiatrische Hämatologie und Onkologie e.V. unterstützt</w:t>
            </w:r>
            <w:r w:rsidRPr="006A7E7F">
              <w:rPr>
                <w:rFonts w:ascii="Arial Narrow" w:hAnsi="Arial Narrow"/>
                <w:sz w:val="22"/>
                <w:szCs w:val="22"/>
              </w:rPr>
              <w:t>.</w:t>
            </w:r>
          </w:p>
        </w:tc>
      </w:tr>
    </w:tbl>
    <w:p w14:paraId="0EB0C271"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57A8AE"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E2025D2" w14:textId="77777777" w:rsidR="006A7E7F" w:rsidRPr="006A7E7F" w:rsidRDefault="006A7E7F" w:rsidP="006A7E7F">
            <w:pPr>
              <w:spacing w:after="0"/>
              <w:rPr>
                <w:rFonts w:ascii="Arial Narrow" w:hAnsi="Arial Narrow"/>
                <w:b/>
                <w:sz w:val="22"/>
                <w:szCs w:val="22"/>
                <w:lang w:val="en-US"/>
              </w:rPr>
            </w:pPr>
            <w:proofErr w:type="spellStart"/>
            <w:r w:rsidRPr="006A7E7F">
              <w:rPr>
                <w:rFonts w:ascii="Arial Narrow" w:hAnsi="Arial Narrow"/>
                <w:b/>
                <w:sz w:val="22"/>
                <w:szCs w:val="22"/>
                <w:lang w:val="en-US"/>
              </w:rPr>
              <w:t>Angefragte</w:t>
            </w:r>
            <w:proofErr w:type="spellEnd"/>
            <w:r w:rsidRPr="006A7E7F">
              <w:rPr>
                <w:rFonts w:ascii="Arial Narrow" w:hAnsi="Arial Narrow"/>
                <w:b/>
                <w:sz w:val="22"/>
                <w:szCs w:val="22"/>
                <w:lang w:val="en-US"/>
              </w:rPr>
              <w:t xml:space="preserve"> </w:t>
            </w:r>
            <w:proofErr w:type="spellStart"/>
            <w:r w:rsidRPr="006A7E7F">
              <w:rPr>
                <w:rFonts w:ascii="Arial Narrow" w:hAnsi="Arial Narrow"/>
                <w:b/>
                <w:sz w:val="22"/>
                <w:szCs w:val="22"/>
                <w:lang w:val="en-US"/>
              </w:rPr>
              <w:t>Untersuchungs</w:t>
            </w:r>
            <w:proofErr w:type="spellEnd"/>
            <w:r w:rsidRPr="006A7E7F">
              <w:rPr>
                <w:rFonts w:ascii="Arial Narrow" w:hAnsi="Arial Narrow"/>
                <w:b/>
                <w:sz w:val="22"/>
                <w:szCs w:val="22"/>
                <w:lang w:val="en-US"/>
              </w:rPr>
              <w:t xml:space="preserve">- und </w:t>
            </w:r>
            <w:proofErr w:type="spellStart"/>
            <w:r w:rsidRPr="006A7E7F">
              <w:rPr>
                <w:rFonts w:ascii="Arial Narrow" w:hAnsi="Arial Narrow"/>
                <w:b/>
                <w:sz w:val="22"/>
                <w:szCs w:val="22"/>
                <w:lang w:val="en-US"/>
              </w:rPr>
              <w:t>Behandlungsmethode</w:t>
            </w:r>
            <w:proofErr w:type="spellEnd"/>
          </w:p>
        </w:tc>
      </w:tr>
      <w:tr w:rsidR="006A7E7F" w:rsidRPr="006A7E7F" w14:paraId="43531B61"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7EEE851" w14:textId="77777777" w:rsidR="006A7E7F" w:rsidRPr="006A7E7F" w:rsidRDefault="006A7E7F" w:rsidP="006A7E7F">
            <w:pPr>
              <w:spacing w:after="0"/>
              <w:rPr>
                <w:rFonts w:ascii="Arial Narrow" w:hAnsi="Arial Narrow"/>
                <w:sz w:val="22"/>
                <w:szCs w:val="22"/>
                <w:lang w:val="en-US"/>
              </w:rPr>
            </w:pPr>
            <w:proofErr w:type="spellStart"/>
            <w:r w:rsidRPr="006A7E7F">
              <w:rPr>
                <w:rFonts w:ascii="Arial Narrow" w:hAnsi="Arial Narrow"/>
                <w:sz w:val="22"/>
                <w:szCs w:val="22"/>
                <w:lang w:val="en-US"/>
              </w:rPr>
              <w:t>Caplacizumab</w:t>
            </w:r>
            <w:proofErr w:type="spellEnd"/>
          </w:p>
        </w:tc>
      </w:tr>
    </w:tbl>
    <w:p w14:paraId="664E3BA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48539495" w14:textId="77777777" w:rsidTr="006A7E7F">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253EA62"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Alternative Bezeichnung(en) der Methode</w:t>
            </w:r>
          </w:p>
        </w:tc>
      </w:tr>
      <w:tr w:rsidR="006A7E7F" w:rsidRPr="006A7E7F" w14:paraId="193CEC43"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977EFF2" w14:textId="77777777" w:rsidR="006A7E7F" w:rsidRPr="006A7E7F" w:rsidRDefault="006A7E7F" w:rsidP="006A7E7F">
            <w:pPr>
              <w:spacing w:after="0"/>
              <w:rPr>
                <w:rFonts w:ascii="Arial Narrow" w:hAnsi="Arial Narrow"/>
                <w:sz w:val="22"/>
                <w:szCs w:val="22"/>
                <w:lang w:val="en-US"/>
              </w:rPr>
            </w:pPr>
            <w:proofErr w:type="spellStart"/>
            <w:r w:rsidRPr="006A7E7F">
              <w:rPr>
                <w:rFonts w:ascii="Arial Narrow" w:hAnsi="Arial Narrow"/>
                <w:sz w:val="22"/>
                <w:szCs w:val="22"/>
                <w:lang w:val="en-US"/>
              </w:rPr>
              <w:t>Cablivi</w:t>
            </w:r>
            <w:proofErr w:type="spellEnd"/>
            <w:r w:rsidRPr="006A7E7F">
              <w:rPr>
                <w:rFonts w:ascii="Arial Narrow" w:hAnsi="Arial Narrow"/>
                <w:sz w:val="22"/>
                <w:szCs w:val="22"/>
                <w:lang w:val="en-US"/>
              </w:rPr>
              <w:t>®</w:t>
            </w:r>
          </w:p>
        </w:tc>
      </w:tr>
    </w:tbl>
    <w:p w14:paraId="5140758B"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5A4EB35" w14:textId="77777777" w:rsidTr="006A7E7F">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0EA3FF8" w14:textId="77777777"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Beruht die neue Untersuchungs- und Behandlungsmethode vollständig oder in Teilen auf dem Einsatz eines Medizinproduktes?</w:t>
            </w:r>
          </w:p>
        </w:tc>
      </w:tr>
      <w:tr w:rsidR="006A7E7F" w:rsidRPr="006A7E7F" w14:paraId="27CAE54C" w14:textId="77777777" w:rsidTr="006A7E7F">
        <w:trPr>
          <w:trHeight w:val="249"/>
        </w:trPr>
        <w:tc>
          <w:tcPr>
            <w:tcW w:w="9215" w:type="dxa"/>
            <w:tcBorders>
              <w:top w:val="single" w:sz="4" w:space="0" w:color="000000"/>
              <w:left w:val="single" w:sz="4" w:space="0" w:color="000000"/>
              <w:bottom w:val="single" w:sz="4" w:space="0" w:color="000000"/>
              <w:right w:val="single" w:sz="4" w:space="0" w:color="000000"/>
            </w:tcBorders>
            <w:hideMark/>
          </w:tcPr>
          <w:p w14:paraId="42E00920" w14:textId="77777777" w:rsidR="006A7E7F" w:rsidRPr="006A7E7F" w:rsidRDefault="006A7E7F" w:rsidP="006A7E7F">
            <w:pPr>
              <w:spacing w:after="0"/>
              <w:rPr>
                <w:rFonts w:ascii="Arial Narrow" w:hAnsi="Arial Narrow"/>
                <w:sz w:val="22"/>
                <w:szCs w:val="22"/>
                <w:lang w:val="en-US"/>
              </w:rPr>
            </w:pPr>
            <w:r w:rsidRPr="006A7E7F">
              <w:rPr>
                <w:rFonts w:ascii="Arial Narrow" w:hAnsi="Arial Narrow"/>
                <w:sz w:val="22"/>
                <w:szCs w:val="22"/>
                <w:lang w:val="en-US"/>
              </w:rPr>
              <w:t>[</w:t>
            </w:r>
            <w:r w:rsidRPr="006A7E7F">
              <w:rPr>
                <w:rFonts w:ascii="Arial Narrow" w:hAnsi="Arial Narrow"/>
                <w:sz w:val="22"/>
                <w:szCs w:val="22"/>
                <w:highlight w:val="yellow"/>
                <w:lang w:val="en-US"/>
              </w:rPr>
              <w:t xml:space="preserve">nein </w:t>
            </w:r>
            <w:proofErr w:type="spellStart"/>
            <w:r w:rsidRPr="006A7E7F">
              <w:rPr>
                <w:rFonts w:ascii="Arial Narrow" w:hAnsi="Arial Narrow"/>
                <w:sz w:val="22"/>
                <w:szCs w:val="22"/>
                <w:highlight w:val="yellow"/>
                <w:lang w:val="en-US"/>
              </w:rPr>
              <w:t>ankreuzen</w:t>
            </w:r>
            <w:proofErr w:type="spellEnd"/>
            <w:r w:rsidRPr="006A7E7F">
              <w:rPr>
                <w:rFonts w:ascii="Arial Narrow" w:hAnsi="Arial Narrow"/>
                <w:sz w:val="22"/>
                <w:szCs w:val="22"/>
                <w:highlight w:val="yellow"/>
                <w:lang w:val="en-US"/>
              </w:rPr>
              <w:t>]</w:t>
            </w:r>
          </w:p>
        </w:tc>
      </w:tr>
    </w:tbl>
    <w:p w14:paraId="2DCB51D4" w14:textId="77777777" w:rsidR="006A7E7F" w:rsidRPr="006A7E7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14D429F0" w14:textId="77777777" w:rsidTr="006A7E7F">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6C0EF4D9" w14:textId="40972B44" w:rsidR="006A7E7F" w:rsidRPr="006A7E7F" w:rsidRDefault="006A7E7F" w:rsidP="006A7E7F">
            <w:pPr>
              <w:spacing w:after="0"/>
              <w:rPr>
                <w:rFonts w:ascii="Arial Narrow" w:hAnsi="Arial Narrow"/>
                <w:b/>
                <w:sz w:val="22"/>
                <w:szCs w:val="22"/>
              </w:rPr>
            </w:pPr>
            <w:r w:rsidRPr="006A7E7F">
              <w:rPr>
                <w:rFonts w:ascii="Arial Narrow" w:hAnsi="Arial Narrow"/>
                <w:b/>
                <w:sz w:val="22"/>
                <w:szCs w:val="22"/>
              </w:rPr>
              <w:t>Wurde für diese angefragte Untersuchungs- und Behandlungsmethode von Ihrem Krankenhaus bereits vor dem 01.01.202</w:t>
            </w:r>
            <w:r w:rsidR="009E6C3A">
              <w:rPr>
                <w:rFonts w:ascii="Arial Narrow" w:hAnsi="Arial Narrow"/>
                <w:b/>
                <w:sz w:val="22"/>
                <w:szCs w:val="22"/>
              </w:rPr>
              <w:t>5</w:t>
            </w:r>
            <w:r w:rsidRPr="006A7E7F">
              <w:rPr>
                <w:rFonts w:ascii="Arial Narrow" w:hAnsi="Arial Narrow"/>
                <w:b/>
                <w:sz w:val="22"/>
                <w:szCs w:val="22"/>
              </w:rPr>
              <w:t xml:space="preserve"> eine Anfrage gemäß §6 Abs. 2 </w:t>
            </w:r>
            <w:proofErr w:type="spellStart"/>
            <w:r w:rsidRPr="006A7E7F">
              <w:rPr>
                <w:rFonts w:ascii="Arial Narrow" w:hAnsi="Arial Narrow"/>
                <w:b/>
                <w:sz w:val="22"/>
                <w:szCs w:val="22"/>
              </w:rPr>
              <w:t>KHEntG</w:t>
            </w:r>
            <w:proofErr w:type="spellEnd"/>
            <w:r w:rsidRPr="006A7E7F">
              <w:rPr>
                <w:rFonts w:ascii="Arial Narrow" w:hAnsi="Arial Narrow"/>
                <w:b/>
                <w:sz w:val="22"/>
                <w:szCs w:val="22"/>
              </w:rPr>
              <w:t xml:space="preserve"> an das </w:t>
            </w:r>
            <w:proofErr w:type="spellStart"/>
            <w:r w:rsidRPr="006A7E7F">
              <w:rPr>
                <w:rFonts w:ascii="Arial Narrow" w:hAnsi="Arial Narrow"/>
                <w:b/>
                <w:sz w:val="22"/>
                <w:szCs w:val="22"/>
              </w:rPr>
              <w:t>InEK</w:t>
            </w:r>
            <w:proofErr w:type="spellEnd"/>
            <w:r w:rsidRPr="006A7E7F">
              <w:rPr>
                <w:rFonts w:ascii="Arial Narrow" w:hAnsi="Arial Narrow"/>
                <w:b/>
                <w:sz w:val="22"/>
                <w:szCs w:val="22"/>
              </w:rPr>
              <w:t xml:space="preserve"> übermittelt?</w:t>
            </w:r>
          </w:p>
        </w:tc>
      </w:tr>
      <w:tr w:rsidR="006A7E7F" w:rsidRPr="000964CF" w14:paraId="48BB4080"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tbl>
            <w:tblPr>
              <w:tblW w:w="9104" w:type="dxa"/>
              <w:tblBorders>
                <w:top w:val="nil"/>
                <w:left w:val="nil"/>
                <w:bottom w:val="nil"/>
                <w:right w:val="nil"/>
              </w:tblBorders>
              <w:tblLayout w:type="fixed"/>
              <w:tblLook w:val="0000" w:firstRow="0" w:lastRow="0" w:firstColumn="0" w:lastColumn="0" w:noHBand="0" w:noVBand="0"/>
            </w:tblPr>
            <w:tblGrid>
              <w:gridCol w:w="9104"/>
            </w:tblGrid>
            <w:tr w:rsidR="009E6C3A" w:rsidRPr="000964CF" w14:paraId="17B6F61B" w14:textId="77777777" w:rsidTr="009E6C3A">
              <w:trPr>
                <w:trHeight w:val="406"/>
              </w:trPr>
              <w:tc>
                <w:tcPr>
                  <w:tcW w:w="9104" w:type="dxa"/>
                </w:tcPr>
                <w:p w14:paraId="075D0C8B" w14:textId="5E777847" w:rsidR="009E6C3A" w:rsidRPr="000964CF" w:rsidRDefault="009E6C3A" w:rsidP="009E6C3A">
                  <w:pPr>
                    <w:pStyle w:val="Default"/>
                    <w:rPr>
                      <w:sz w:val="22"/>
                      <w:szCs w:val="22"/>
                    </w:rPr>
                  </w:pPr>
                  <w:bookmarkStart w:id="0" w:name="_GoBack"/>
                  <w:r w:rsidRPr="000964CF">
                    <w:rPr>
                      <w:sz w:val="22"/>
                      <w:szCs w:val="22"/>
                      <w:highlight w:val="yellow"/>
                    </w:rPr>
                    <w:t>[hier ja ankreuzen, falls Sie zu den Häusern gehören, die im Vorjahr eine Anfrage gestellt haben, sonst nein ankreuzen. Bei ja Anfrage aus dem Vorjahr im Datenportal auswählen. Die Angabe der vorangegangenen Verfahrensnummer ist Pflicht, diese wird im Formular durch die Suchfunktion unterstützt]</w:t>
                  </w:r>
                  <w:r w:rsidRPr="000964CF">
                    <w:rPr>
                      <w:sz w:val="22"/>
                      <w:szCs w:val="22"/>
                    </w:rPr>
                    <w:t xml:space="preserve"> </w:t>
                  </w:r>
                </w:p>
              </w:tc>
            </w:tr>
          </w:tbl>
          <w:p w14:paraId="2A598E77" w14:textId="6DA30ABE" w:rsidR="006A7E7F" w:rsidRPr="000964CF" w:rsidRDefault="006A7E7F" w:rsidP="006A7E7F">
            <w:pPr>
              <w:spacing w:after="0"/>
              <w:rPr>
                <w:rFonts w:ascii="Arial Narrow" w:hAnsi="Arial Narrow"/>
                <w:sz w:val="22"/>
                <w:szCs w:val="22"/>
              </w:rPr>
            </w:pPr>
          </w:p>
        </w:tc>
      </w:tr>
    </w:tbl>
    <w:p w14:paraId="52A63D19" w14:textId="77777777" w:rsidR="006A7E7F" w:rsidRPr="000964CF" w:rsidRDefault="006A7E7F" w:rsidP="006A7E7F">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6A7E7F" w:rsidRPr="006A7E7F" w14:paraId="22169FA0"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hideMark/>
          </w:tcPr>
          <w:bookmarkEnd w:id="0"/>
          <w:p w14:paraId="5710298B" w14:textId="77777777" w:rsidR="006A7E7F" w:rsidRPr="006A7E7F" w:rsidRDefault="006A7E7F" w:rsidP="006A7E7F">
            <w:pPr>
              <w:rPr>
                <w:rFonts w:ascii="Arial Narrow" w:hAnsi="Arial Narrow"/>
                <w:b/>
                <w:sz w:val="22"/>
                <w:szCs w:val="22"/>
                <w:lang w:val="en-US"/>
              </w:rPr>
            </w:pPr>
            <w:proofErr w:type="spellStart"/>
            <w:r w:rsidRPr="006A7E7F">
              <w:rPr>
                <w:rFonts w:ascii="Arial Narrow" w:hAnsi="Arial Narrow"/>
                <w:b/>
                <w:sz w:val="22"/>
                <w:szCs w:val="22"/>
                <w:lang w:val="en-US"/>
              </w:rPr>
              <w:t>Beschreibung</w:t>
            </w:r>
            <w:proofErr w:type="spellEnd"/>
            <w:r w:rsidRPr="006A7E7F">
              <w:rPr>
                <w:rFonts w:ascii="Arial Narrow" w:hAnsi="Arial Narrow"/>
                <w:b/>
                <w:sz w:val="22"/>
                <w:szCs w:val="22"/>
                <w:lang w:val="en-US"/>
              </w:rPr>
              <w:t xml:space="preserve"> der </w:t>
            </w:r>
            <w:proofErr w:type="spellStart"/>
            <w:r w:rsidRPr="006A7E7F">
              <w:rPr>
                <w:rFonts w:ascii="Arial Narrow" w:hAnsi="Arial Narrow"/>
                <w:b/>
                <w:sz w:val="22"/>
                <w:szCs w:val="22"/>
                <w:lang w:val="en-US"/>
              </w:rPr>
              <w:t>neuen</w:t>
            </w:r>
            <w:proofErr w:type="spellEnd"/>
            <w:r w:rsidRPr="006A7E7F">
              <w:rPr>
                <w:rFonts w:ascii="Arial Narrow" w:hAnsi="Arial Narrow"/>
                <w:b/>
                <w:sz w:val="22"/>
                <w:szCs w:val="22"/>
                <w:lang w:val="en-US"/>
              </w:rPr>
              <w:t xml:space="preserve"> </w:t>
            </w:r>
            <w:proofErr w:type="spellStart"/>
            <w:r w:rsidRPr="006A7E7F">
              <w:rPr>
                <w:rFonts w:ascii="Arial Narrow" w:hAnsi="Arial Narrow"/>
                <w:b/>
                <w:sz w:val="22"/>
                <w:szCs w:val="22"/>
                <w:lang w:val="en-US"/>
              </w:rPr>
              <w:t>Methode</w:t>
            </w:r>
            <w:proofErr w:type="spellEnd"/>
          </w:p>
        </w:tc>
      </w:tr>
      <w:tr w:rsidR="003151FB" w:rsidRPr="006A7E7F" w14:paraId="69AAD5E9" w14:textId="77777777" w:rsidTr="006A7E7F">
        <w:trPr>
          <w:trHeight w:val="251"/>
        </w:trPr>
        <w:tc>
          <w:tcPr>
            <w:tcW w:w="9215" w:type="dxa"/>
            <w:tcBorders>
              <w:top w:val="single" w:sz="4" w:space="0" w:color="000000"/>
              <w:left w:val="single" w:sz="4" w:space="0" w:color="000000"/>
              <w:bottom w:val="single" w:sz="4" w:space="0" w:color="000000"/>
              <w:right w:val="single" w:sz="4" w:space="0" w:color="000000"/>
            </w:tcBorders>
          </w:tcPr>
          <w:p w14:paraId="740BB001" w14:textId="77777777" w:rsidR="003151FB" w:rsidRDefault="003151FB" w:rsidP="003151FB">
            <w:pPr>
              <w:rPr>
                <w:rFonts w:ascii="Arial Narrow" w:hAnsi="Arial Narrow"/>
                <w:b/>
                <w:sz w:val="22"/>
                <w:szCs w:val="22"/>
              </w:rPr>
            </w:pPr>
            <w:r w:rsidRPr="003151FB">
              <w:rPr>
                <w:rFonts w:ascii="Arial Narrow" w:hAnsi="Arial Narrow"/>
                <w:b/>
                <w:sz w:val="22"/>
                <w:szCs w:val="22"/>
              </w:rPr>
              <w:t>Wirkweise:</w:t>
            </w:r>
          </w:p>
          <w:p w14:paraId="36EC010C" w14:textId="0CE6244F" w:rsidR="003151FB" w:rsidRPr="003151FB" w:rsidRDefault="003151FB" w:rsidP="003151FB">
            <w:pPr>
              <w:rPr>
                <w:rFonts w:ascii="Arial Narrow" w:hAnsi="Arial Narrow"/>
                <w:b/>
                <w:sz w:val="22"/>
                <w:szCs w:val="22"/>
              </w:rPr>
            </w:pPr>
            <w:proofErr w:type="spellStart"/>
            <w:r w:rsidRPr="003151FB">
              <w:rPr>
                <w:rFonts w:ascii="Arial Narrow" w:hAnsi="Arial Narrow"/>
                <w:bCs/>
                <w:sz w:val="22"/>
                <w:szCs w:val="22"/>
              </w:rPr>
              <w:t>Caplacizumab</w:t>
            </w:r>
            <w:proofErr w:type="spellEnd"/>
            <w:r w:rsidRPr="003151FB">
              <w:rPr>
                <w:rFonts w:ascii="Arial Narrow" w:hAnsi="Arial Narrow"/>
                <w:bCs/>
                <w:sz w:val="22"/>
                <w:szCs w:val="22"/>
              </w:rPr>
              <w:t xml:space="preserve"> ist ein humanisierter bivalenter Nanokörper (</w:t>
            </w:r>
            <w:proofErr w:type="spellStart"/>
            <w:r w:rsidRPr="003151FB">
              <w:rPr>
                <w:rFonts w:ascii="Arial Narrow" w:hAnsi="Arial Narrow"/>
                <w:bCs/>
                <w:sz w:val="22"/>
                <w:szCs w:val="22"/>
              </w:rPr>
              <w:t>single</w:t>
            </w:r>
            <w:proofErr w:type="spellEnd"/>
            <w:r w:rsidRPr="003151FB">
              <w:rPr>
                <w:rFonts w:ascii="Arial Narrow" w:hAnsi="Arial Narrow"/>
                <w:bCs/>
                <w:sz w:val="22"/>
                <w:szCs w:val="22"/>
              </w:rPr>
              <w:t xml:space="preserve"> </w:t>
            </w:r>
            <w:proofErr w:type="spellStart"/>
            <w:r w:rsidRPr="003151FB">
              <w:rPr>
                <w:rFonts w:ascii="Arial Narrow" w:hAnsi="Arial Narrow"/>
                <w:bCs/>
                <w:sz w:val="22"/>
                <w:szCs w:val="22"/>
              </w:rPr>
              <w:t>domain</w:t>
            </w:r>
            <w:proofErr w:type="spellEnd"/>
            <w:r w:rsidRPr="003151FB">
              <w:rPr>
                <w:rFonts w:ascii="Arial Narrow" w:hAnsi="Arial Narrow"/>
                <w:bCs/>
                <w:sz w:val="22"/>
                <w:szCs w:val="22"/>
              </w:rPr>
              <w:t xml:space="preserve"> Antikörper). Die Interaktion von </w:t>
            </w:r>
            <w:proofErr w:type="spellStart"/>
            <w:r w:rsidRPr="003151FB">
              <w:rPr>
                <w:rFonts w:ascii="Arial Narrow" w:hAnsi="Arial Narrow"/>
                <w:bCs/>
                <w:sz w:val="22"/>
                <w:szCs w:val="22"/>
              </w:rPr>
              <w:t>Caplacizumab</w:t>
            </w:r>
            <w:proofErr w:type="spellEnd"/>
            <w:r w:rsidRPr="003151FB">
              <w:rPr>
                <w:rFonts w:ascii="Arial Narrow" w:hAnsi="Arial Narrow"/>
                <w:bCs/>
                <w:sz w:val="22"/>
                <w:szCs w:val="22"/>
              </w:rPr>
              <w:t xml:space="preserve"> mit dem von Willebrand-Faktor (</w:t>
            </w:r>
            <w:proofErr w:type="spellStart"/>
            <w:r w:rsidRPr="003151FB">
              <w:rPr>
                <w:rFonts w:ascii="Arial Narrow" w:hAnsi="Arial Narrow"/>
                <w:bCs/>
                <w:sz w:val="22"/>
                <w:szCs w:val="22"/>
              </w:rPr>
              <w:t>vWF</w:t>
            </w:r>
            <w:proofErr w:type="spellEnd"/>
            <w:r w:rsidRPr="003151FB">
              <w:rPr>
                <w:rFonts w:ascii="Arial Narrow" w:hAnsi="Arial Narrow"/>
                <w:bCs/>
                <w:sz w:val="22"/>
                <w:szCs w:val="22"/>
              </w:rPr>
              <w:t xml:space="preserve">) ist hochspezifisch und hemmt die Bindung von Thrombozyten an die von Willebrand </w:t>
            </w:r>
            <w:proofErr w:type="spellStart"/>
            <w:r w:rsidRPr="003151FB">
              <w:rPr>
                <w:rFonts w:ascii="Arial Narrow" w:hAnsi="Arial Narrow"/>
                <w:bCs/>
                <w:sz w:val="22"/>
                <w:szCs w:val="22"/>
              </w:rPr>
              <w:t>Multimere</w:t>
            </w:r>
            <w:proofErr w:type="spellEnd"/>
            <w:r w:rsidRPr="003151FB">
              <w:rPr>
                <w:rFonts w:ascii="Arial Narrow" w:hAnsi="Arial Narrow"/>
                <w:bCs/>
                <w:sz w:val="22"/>
                <w:szCs w:val="22"/>
              </w:rPr>
              <w:t xml:space="preserve"> und damit die </w:t>
            </w:r>
            <w:proofErr w:type="spellStart"/>
            <w:r w:rsidRPr="003151FB">
              <w:rPr>
                <w:rFonts w:ascii="Arial Narrow" w:hAnsi="Arial Narrow"/>
                <w:bCs/>
                <w:sz w:val="22"/>
                <w:szCs w:val="22"/>
              </w:rPr>
              <w:t>Thrombozytenadhäsion</w:t>
            </w:r>
            <w:proofErr w:type="spellEnd"/>
            <w:r w:rsidRPr="003151FB">
              <w:rPr>
                <w:rFonts w:ascii="Arial Narrow" w:hAnsi="Arial Narrow"/>
                <w:bCs/>
                <w:sz w:val="22"/>
                <w:szCs w:val="22"/>
              </w:rPr>
              <w:t xml:space="preserve">. Bei Patienten mit einer akuten Episode der erworbenen thrombotischen </w:t>
            </w:r>
            <w:proofErr w:type="spellStart"/>
            <w:r w:rsidRPr="003151FB">
              <w:rPr>
                <w:rFonts w:ascii="Arial Narrow" w:hAnsi="Arial Narrow"/>
                <w:bCs/>
                <w:sz w:val="22"/>
                <w:szCs w:val="22"/>
              </w:rPr>
              <w:t>thrombozytopenischen</w:t>
            </w:r>
            <w:proofErr w:type="spellEnd"/>
            <w:r w:rsidRPr="003151FB">
              <w:rPr>
                <w:rFonts w:ascii="Arial Narrow" w:hAnsi="Arial Narrow"/>
                <w:bCs/>
                <w:sz w:val="22"/>
                <w:szCs w:val="22"/>
              </w:rPr>
              <w:t xml:space="preserve"> Purpura (</w:t>
            </w:r>
            <w:proofErr w:type="spellStart"/>
            <w:r w:rsidRPr="003151FB">
              <w:rPr>
                <w:rFonts w:ascii="Arial Narrow" w:hAnsi="Arial Narrow"/>
                <w:bCs/>
                <w:sz w:val="22"/>
                <w:szCs w:val="22"/>
              </w:rPr>
              <w:t>aTTP</w:t>
            </w:r>
            <w:proofErr w:type="spellEnd"/>
            <w:r w:rsidRPr="003151FB">
              <w:rPr>
                <w:rFonts w:ascii="Arial Narrow" w:hAnsi="Arial Narrow"/>
                <w:bCs/>
                <w:sz w:val="22"/>
                <w:szCs w:val="22"/>
              </w:rPr>
              <w:t>), wird damit eine weitere Bildung von mikrovaskulären Thromben (Mikro-Thromben) verhindert.</w:t>
            </w:r>
          </w:p>
          <w:p w14:paraId="16F0EB39" w14:textId="77777777" w:rsidR="003151FB" w:rsidRPr="003151FB" w:rsidRDefault="003151FB" w:rsidP="003151FB">
            <w:pPr>
              <w:rPr>
                <w:rFonts w:ascii="Arial Narrow" w:hAnsi="Arial Narrow"/>
                <w:bCs/>
                <w:sz w:val="22"/>
                <w:szCs w:val="22"/>
              </w:rPr>
            </w:pPr>
            <w:r w:rsidRPr="003151FB">
              <w:rPr>
                <w:rFonts w:ascii="Arial Narrow" w:hAnsi="Arial Narrow"/>
                <w:bCs/>
                <w:sz w:val="22"/>
                <w:szCs w:val="22"/>
              </w:rPr>
              <w:t xml:space="preserve">Die Bildung der Mikro-Thromben ist die zentrale Ursache der meisten assoziierten akuten Komplikationen der </w:t>
            </w:r>
            <w:proofErr w:type="spellStart"/>
            <w:r w:rsidRPr="003151FB">
              <w:rPr>
                <w:rFonts w:ascii="Arial Narrow" w:hAnsi="Arial Narrow"/>
                <w:bCs/>
                <w:sz w:val="22"/>
                <w:szCs w:val="22"/>
              </w:rPr>
              <w:t>aTTP</w:t>
            </w:r>
            <w:proofErr w:type="spellEnd"/>
            <w:r w:rsidRPr="003151FB">
              <w:rPr>
                <w:rFonts w:ascii="Arial Narrow" w:hAnsi="Arial Narrow"/>
                <w:bCs/>
                <w:sz w:val="22"/>
                <w:szCs w:val="22"/>
              </w:rPr>
              <w:t xml:space="preserve"> (einschließlich akuter Mortalität) sowie mittel- und langfristiger Morbidität.</w:t>
            </w:r>
          </w:p>
          <w:p w14:paraId="0CA67A34" w14:textId="2F0604B2" w:rsidR="003151FB" w:rsidRPr="003151FB" w:rsidRDefault="003151FB" w:rsidP="006A7E7F">
            <w:pPr>
              <w:rPr>
                <w:rFonts w:ascii="Arial Narrow" w:hAnsi="Arial Narrow"/>
                <w:b/>
                <w:sz w:val="22"/>
                <w:szCs w:val="22"/>
              </w:rPr>
            </w:pPr>
            <w:r w:rsidRPr="003151FB">
              <w:rPr>
                <w:rFonts w:ascii="Arial Narrow" w:hAnsi="Arial Narrow"/>
                <w:bCs/>
                <w:sz w:val="22"/>
                <w:szCs w:val="22"/>
              </w:rPr>
              <w:t xml:space="preserve">Die Bindung von </w:t>
            </w:r>
            <w:proofErr w:type="spellStart"/>
            <w:r w:rsidRPr="003151FB">
              <w:rPr>
                <w:rFonts w:ascii="Arial Narrow" w:hAnsi="Arial Narrow"/>
                <w:bCs/>
                <w:sz w:val="22"/>
                <w:szCs w:val="22"/>
              </w:rPr>
              <w:t>Caplacizumab</w:t>
            </w:r>
            <w:proofErr w:type="spellEnd"/>
            <w:r w:rsidRPr="003151FB">
              <w:rPr>
                <w:rFonts w:ascii="Arial Narrow" w:hAnsi="Arial Narrow"/>
                <w:bCs/>
                <w:sz w:val="22"/>
                <w:szCs w:val="22"/>
              </w:rPr>
              <w:t xml:space="preserve"> an </w:t>
            </w:r>
            <w:proofErr w:type="spellStart"/>
            <w:r w:rsidRPr="003151FB">
              <w:rPr>
                <w:rFonts w:ascii="Arial Narrow" w:hAnsi="Arial Narrow"/>
                <w:bCs/>
                <w:sz w:val="22"/>
                <w:szCs w:val="22"/>
              </w:rPr>
              <w:t>vWF</w:t>
            </w:r>
            <w:proofErr w:type="spellEnd"/>
            <w:r w:rsidRPr="003151FB">
              <w:rPr>
                <w:rFonts w:ascii="Arial Narrow" w:hAnsi="Arial Narrow"/>
                <w:bCs/>
                <w:sz w:val="22"/>
                <w:szCs w:val="22"/>
              </w:rPr>
              <w:t xml:space="preserve"> beeinträchtigt nicht dessen Fähigkeit mit Gerinnungsfaktor VIII (FVIII), </w:t>
            </w:r>
            <w:proofErr w:type="spellStart"/>
            <w:r w:rsidRPr="003151FB">
              <w:rPr>
                <w:rFonts w:ascii="Arial Narrow" w:hAnsi="Arial Narrow"/>
                <w:bCs/>
                <w:sz w:val="22"/>
                <w:szCs w:val="22"/>
              </w:rPr>
              <w:t>fibrillären</w:t>
            </w:r>
            <w:proofErr w:type="spellEnd"/>
            <w:r w:rsidRPr="003151FB">
              <w:rPr>
                <w:rFonts w:ascii="Arial Narrow" w:hAnsi="Arial Narrow"/>
                <w:bCs/>
                <w:sz w:val="22"/>
                <w:szCs w:val="22"/>
              </w:rPr>
              <w:t xml:space="preserve"> Kollagenen oder Kollagen Typ VI zu interagieren.</w:t>
            </w:r>
          </w:p>
        </w:tc>
      </w:tr>
      <w:tr w:rsidR="006A7E7F" w:rsidRPr="006A7E7F" w14:paraId="3538F40B" w14:textId="77777777" w:rsidTr="003151FB">
        <w:trPr>
          <w:trHeight w:val="2315"/>
        </w:trPr>
        <w:tc>
          <w:tcPr>
            <w:tcW w:w="9215" w:type="dxa"/>
            <w:tcBorders>
              <w:top w:val="single" w:sz="4" w:space="0" w:color="000000"/>
              <w:left w:val="single" w:sz="4" w:space="0" w:color="000000"/>
              <w:bottom w:val="single" w:sz="4" w:space="0" w:color="000000"/>
              <w:right w:val="single" w:sz="4" w:space="0" w:color="000000"/>
            </w:tcBorders>
            <w:hideMark/>
          </w:tcPr>
          <w:p w14:paraId="5C6C6047" w14:textId="77777777" w:rsidR="006A7E7F" w:rsidRPr="006A7E7F" w:rsidRDefault="006A7E7F" w:rsidP="003151FB">
            <w:pPr>
              <w:spacing w:after="0"/>
              <w:rPr>
                <w:rFonts w:ascii="Arial Narrow" w:hAnsi="Arial Narrow"/>
                <w:sz w:val="22"/>
                <w:szCs w:val="22"/>
              </w:rPr>
            </w:pPr>
            <w:r w:rsidRPr="006A7E7F">
              <w:rPr>
                <w:rFonts w:ascii="Arial Narrow" w:hAnsi="Arial Narrow"/>
                <w:sz w:val="22"/>
                <w:szCs w:val="22"/>
              </w:rPr>
              <w:lastRenderedPageBreak/>
              <w:t>Evidenzlage:</w:t>
            </w:r>
          </w:p>
          <w:p w14:paraId="5E13E047" w14:textId="77777777" w:rsidR="009E6C3A" w:rsidRDefault="006A7E7F" w:rsidP="009E6C3A">
            <w:pPr>
              <w:pStyle w:val="Default"/>
            </w:pPr>
            <w:r w:rsidRPr="006A7E7F">
              <w:rPr>
                <w:sz w:val="22"/>
                <w:szCs w:val="22"/>
              </w:rPr>
              <w:t xml:space="preserve">Der Nutzen von </w:t>
            </w:r>
            <w:proofErr w:type="spellStart"/>
            <w:r w:rsidRPr="006A7E7F">
              <w:rPr>
                <w:sz w:val="22"/>
                <w:szCs w:val="22"/>
              </w:rPr>
              <w:t>Caplacizumab</w:t>
            </w:r>
            <w:proofErr w:type="spellEnd"/>
            <w:r w:rsidRPr="006A7E7F">
              <w:rPr>
                <w:sz w:val="22"/>
                <w:szCs w:val="22"/>
              </w:rPr>
              <w:t xml:space="preserve"> wurde in einer randomisierten (</w:t>
            </w:r>
            <w:proofErr w:type="spellStart"/>
            <w:r w:rsidRPr="006A7E7F">
              <w:rPr>
                <w:sz w:val="22"/>
                <w:szCs w:val="22"/>
              </w:rPr>
              <w:t>placebo</w:t>
            </w:r>
            <w:proofErr w:type="spellEnd"/>
            <w:r w:rsidRPr="006A7E7F">
              <w:rPr>
                <w:sz w:val="22"/>
                <w:szCs w:val="22"/>
              </w:rPr>
              <w:t xml:space="preserve">-) kontrollierten Studie (HERCULES) untersucht. In der Studie wurden 145 Patienten mit einer Episode einer erworbenen TTP mit </w:t>
            </w:r>
            <w:proofErr w:type="spellStart"/>
            <w:r w:rsidRPr="006A7E7F">
              <w:rPr>
                <w:sz w:val="22"/>
                <w:szCs w:val="22"/>
              </w:rPr>
              <w:t>Caplacizumab</w:t>
            </w:r>
            <w:proofErr w:type="spellEnd"/>
            <w:r w:rsidRPr="006A7E7F">
              <w:rPr>
                <w:sz w:val="22"/>
                <w:szCs w:val="22"/>
              </w:rPr>
              <w:t xml:space="preserve"> oder </w:t>
            </w:r>
            <w:proofErr w:type="spellStart"/>
            <w:r w:rsidRPr="006A7E7F">
              <w:rPr>
                <w:sz w:val="22"/>
                <w:szCs w:val="22"/>
              </w:rPr>
              <w:t>Plazebo</w:t>
            </w:r>
            <w:proofErr w:type="spellEnd"/>
            <w:r w:rsidRPr="006A7E7F">
              <w:rPr>
                <w:sz w:val="22"/>
                <w:szCs w:val="22"/>
              </w:rPr>
              <w:t xml:space="preserve"> behandelt. Die Zeit bis zum </w:t>
            </w:r>
            <w:proofErr w:type="spellStart"/>
            <w:r w:rsidRPr="006A7E7F">
              <w:rPr>
                <w:sz w:val="22"/>
                <w:szCs w:val="22"/>
              </w:rPr>
              <w:t>Thrombozytenansprechen</w:t>
            </w:r>
            <w:proofErr w:type="spellEnd"/>
            <w:r w:rsidRPr="006A7E7F">
              <w:rPr>
                <w:sz w:val="22"/>
                <w:szCs w:val="22"/>
              </w:rPr>
              <w:t xml:space="preserve"> war signifikant verkürzt. Der zusammengesetzte Endpunkt (Tod, TTP-Exazerbation, schweres </w:t>
            </w:r>
            <w:proofErr w:type="spellStart"/>
            <w:r w:rsidRPr="006A7E7F">
              <w:rPr>
                <w:sz w:val="22"/>
                <w:szCs w:val="22"/>
              </w:rPr>
              <w:t>thromboembolisches</w:t>
            </w:r>
            <w:proofErr w:type="spellEnd"/>
            <w:r w:rsidRPr="006A7E7F">
              <w:rPr>
                <w:sz w:val="22"/>
                <w:szCs w:val="22"/>
              </w:rPr>
              <w:t xml:space="preserve"> Ereignis) wurde um 74% vermindert, die </w:t>
            </w:r>
            <w:proofErr w:type="spellStart"/>
            <w:r w:rsidRPr="006A7E7F">
              <w:rPr>
                <w:sz w:val="22"/>
                <w:szCs w:val="22"/>
              </w:rPr>
              <w:t>Rezidivrate</w:t>
            </w:r>
            <w:proofErr w:type="spellEnd"/>
            <w:r w:rsidRPr="006A7E7F">
              <w:rPr>
                <w:sz w:val="22"/>
                <w:szCs w:val="22"/>
              </w:rPr>
              <w:t xml:space="preserve"> war 67% niedriger. Quelle: </w:t>
            </w:r>
          </w:p>
          <w:tbl>
            <w:tblPr>
              <w:tblW w:w="0" w:type="auto"/>
              <w:tblBorders>
                <w:top w:val="nil"/>
                <w:left w:val="nil"/>
                <w:bottom w:val="nil"/>
                <w:right w:val="nil"/>
              </w:tblBorders>
              <w:tblLayout w:type="fixed"/>
              <w:tblLook w:val="0000" w:firstRow="0" w:lastRow="0" w:firstColumn="0" w:lastColumn="0" w:noHBand="0" w:noVBand="0"/>
            </w:tblPr>
            <w:tblGrid>
              <w:gridCol w:w="9218"/>
            </w:tblGrid>
            <w:tr w:rsidR="009E6C3A" w14:paraId="1ACBAF4B" w14:textId="77777777">
              <w:trPr>
                <w:trHeight w:val="153"/>
              </w:trPr>
              <w:tc>
                <w:tcPr>
                  <w:tcW w:w="9218" w:type="dxa"/>
                </w:tcPr>
                <w:p w14:paraId="3B8FE833" w14:textId="77777777" w:rsidR="009E6C3A" w:rsidRDefault="009E6C3A" w:rsidP="009E6C3A">
                  <w:pPr>
                    <w:pStyle w:val="Default"/>
                    <w:rPr>
                      <w:sz w:val="22"/>
                      <w:szCs w:val="22"/>
                    </w:rPr>
                  </w:pPr>
                  <w:r>
                    <w:t xml:space="preserve"> </w:t>
                  </w:r>
                  <w:r>
                    <w:rPr>
                      <w:sz w:val="22"/>
                      <w:szCs w:val="22"/>
                    </w:rPr>
                    <w:t xml:space="preserve">Fachinformation, Stand November 2024, Zugriff 29.7.2025 </w:t>
                  </w:r>
                </w:p>
              </w:tc>
            </w:tr>
          </w:tbl>
          <w:p w14:paraId="24525498" w14:textId="77777777" w:rsidR="006A7E7F" w:rsidRPr="006A7E7F" w:rsidRDefault="006A7E7F" w:rsidP="003151FB">
            <w:pPr>
              <w:spacing w:after="0"/>
              <w:rPr>
                <w:rFonts w:ascii="Arial Narrow" w:hAnsi="Arial Narrow"/>
                <w:sz w:val="22"/>
                <w:szCs w:val="22"/>
              </w:rPr>
            </w:pPr>
            <w:r w:rsidRPr="006A7E7F">
              <w:rPr>
                <w:rFonts w:ascii="Arial Narrow" w:hAnsi="Arial Narrow"/>
                <w:sz w:val="22"/>
                <w:szCs w:val="22"/>
              </w:rPr>
              <w:t>Dosierung:</w:t>
            </w:r>
          </w:p>
          <w:p w14:paraId="05840824" w14:textId="77777777" w:rsidR="006A7E7F" w:rsidRPr="006A7E7F" w:rsidRDefault="006A7E7F" w:rsidP="003151FB">
            <w:pPr>
              <w:spacing w:after="0"/>
              <w:rPr>
                <w:rFonts w:ascii="Arial Narrow" w:hAnsi="Arial Narrow"/>
                <w:sz w:val="22"/>
                <w:szCs w:val="22"/>
              </w:rPr>
            </w:pPr>
            <w:r w:rsidRPr="006A7E7F">
              <w:rPr>
                <w:rFonts w:ascii="Arial Narrow" w:hAnsi="Arial Narrow"/>
                <w:sz w:val="22"/>
                <w:szCs w:val="22"/>
              </w:rPr>
              <w:t xml:space="preserve">10 mg initial </w:t>
            </w:r>
            <w:proofErr w:type="spellStart"/>
            <w:r w:rsidRPr="006A7E7F">
              <w:rPr>
                <w:rFonts w:ascii="Arial Narrow" w:hAnsi="Arial Narrow"/>
                <w:sz w:val="22"/>
                <w:szCs w:val="22"/>
              </w:rPr>
              <w:t>i.v.</w:t>
            </w:r>
            <w:proofErr w:type="spellEnd"/>
            <w:r w:rsidRPr="006A7E7F">
              <w:rPr>
                <w:rFonts w:ascii="Arial Narrow" w:hAnsi="Arial Narrow"/>
                <w:sz w:val="22"/>
                <w:szCs w:val="22"/>
              </w:rPr>
              <w:t xml:space="preserve"> und eine tägliche Erhaltungstherapie 10 mg, subkutan</w:t>
            </w:r>
          </w:p>
        </w:tc>
      </w:tr>
    </w:tbl>
    <w:p w14:paraId="5B5DCF36"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BA94D0F"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6B89AC71"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Mit welchem OPS wird die Methode verschlüsselt?</w:t>
            </w:r>
          </w:p>
        </w:tc>
      </w:tr>
      <w:tr w:rsidR="003151FB" w:rsidRPr="003151FB" w14:paraId="53AF0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8FE0267"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6-00b.5</w:t>
            </w:r>
          </w:p>
        </w:tc>
      </w:tr>
    </w:tbl>
    <w:p w14:paraId="7DB7DA2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22AA8E2"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1138FC10" w14:textId="77777777" w:rsidR="003151FB" w:rsidRPr="003151FB" w:rsidRDefault="003151FB" w:rsidP="003151FB">
            <w:pPr>
              <w:spacing w:after="0"/>
              <w:rPr>
                <w:rFonts w:ascii="Arial Narrow" w:hAnsi="Arial Narrow"/>
                <w:b/>
                <w:sz w:val="22"/>
                <w:szCs w:val="22"/>
                <w:lang w:val="en-US"/>
              </w:rPr>
            </w:pPr>
            <w:proofErr w:type="spellStart"/>
            <w:r w:rsidRPr="003151FB">
              <w:rPr>
                <w:rFonts w:ascii="Arial Narrow" w:hAnsi="Arial Narrow"/>
                <w:b/>
                <w:sz w:val="22"/>
                <w:szCs w:val="22"/>
                <w:lang w:val="en-US"/>
              </w:rPr>
              <w:t>Anmerkungen</w:t>
            </w:r>
            <w:proofErr w:type="spellEnd"/>
            <w:r w:rsidRPr="003151FB">
              <w:rPr>
                <w:rFonts w:ascii="Arial Narrow" w:hAnsi="Arial Narrow"/>
                <w:b/>
                <w:sz w:val="22"/>
                <w:szCs w:val="22"/>
                <w:lang w:val="en-US"/>
              </w:rPr>
              <w:t xml:space="preserve"> </w:t>
            </w:r>
            <w:proofErr w:type="spellStart"/>
            <w:r w:rsidRPr="003151FB">
              <w:rPr>
                <w:rFonts w:ascii="Arial Narrow" w:hAnsi="Arial Narrow"/>
                <w:b/>
                <w:sz w:val="22"/>
                <w:szCs w:val="22"/>
                <w:lang w:val="en-US"/>
              </w:rPr>
              <w:t>zu</w:t>
            </w:r>
            <w:proofErr w:type="spellEnd"/>
            <w:r w:rsidRPr="003151FB">
              <w:rPr>
                <w:rFonts w:ascii="Arial Narrow" w:hAnsi="Arial Narrow"/>
                <w:b/>
                <w:sz w:val="22"/>
                <w:szCs w:val="22"/>
                <w:lang w:val="en-US"/>
              </w:rPr>
              <w:t xml:space="preserve"> den </w:t>
            </w:r>
            <w:proofErr w:type="spellStart"/>
            <w:r w:rsidRPr="003151FB">
              <w:rPr>
                <w:rFonts w:ascii="Arial Narrow" w:hAnsi="Arial Narrow"/>
                <w:b/>
                <w:sz w:val="22"/>
                <w:szCs w:val="22"/>
                <w:lang w:val="en-US"/>
              </w:rPr>
              <w:t>Prozeduren</w:t>
            </w:r>
            <w:proofErr w:type="spellEnd"/>
          </w:p>
        </w:tc>
      </w:tr>
      <w:tr w:rsidR="003151FB" w:rsidRPr="003151FB" w14:paraId="46C1D0B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99DD359"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 xml:space="preserve">Ergänzend wird für die Gabe eines </w:t>
            </w:r>
            <w:proofErr w:type="spellStart"/>
            <w:r w:rsidRPr="003151FB">
              <w:rPr>
                <w:rFonts w:ascii="Arial Narrow" w:hAnsi="Arial Narrow"/>
                <w:sz w:val="22"/>
                <w:szCs w:val="22"/>
              </w:rPr>
              <w:t>monoklonalen</w:t>
            </w:r>
            <w:proofErr w:type="spellEnd"/>
            <w:r w:rsidRPr="003151FB">
              <w:rPr>
                <w:rFonts w:ascii="Arial Narrow" w:hAnsi="Arial Narrow"/>
                <w:sz w:val="22"/>
                <w:szCs w:val="22"/>
              </w:rPr>
              <w:t xml:space="preserve"> Antikörpers der Kode 8-547.0 verschlüsselt</w:t>
            </w:r>
          </w:p>
        </w:tc>
      </w:tr>
    </w:tbl>
    <w:p w14:paraId="21A2B885" w14:textId="77777777" w:rsidR="006A7E7F" w:rsidRPr="003151FB" w:rsidRDefault="006A7E7F"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077D2A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61D055C8"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welchen Patienten wird die Methode angewandt (Indikation)?</w:t>
            </w:r>
          </w:p>
        </w:tc>
      </w:tr>
      <w:tr w:rsidR="003151FB" w:rsidRPr="003151FB" w14:paraId="6E6E496E" w14:textId="77777777" w:rsidTr="003151FB">
        <w:trPr>
          <w:trHeight w:val="1010"/>
        </w:trPr>
        <w:tc>
          <w:tcPr>
            <w:tcW w:w="9215" w:type="dxa"/>
            <w:tcBorders>
              <w:top w:val="single" w:sz="4" w:space="0" w:color="000000"/>
              <w:left w:val="single" w:sz="4" w:space="0" w:color="000000"/>
              <w:bottom w:val="single" w:sz="4" w:space="0" w:color="000000"/>
              <w:right w:val="single" w:sz="4" w:space="0" w:color="000000"/>
            </w:tcBorders>
            <w:hideMark/>
          </w:tcPr>
          <w:p w14:paraId="5FD9AB02" w14:textId="77777777" w:rsidR="003151FB" w:rsidRPr="003151FB" w:rsidRDefault="003151FB" w:rsidP="003151FB">
            <w:pPr>
              <w:spacing w:after="0"/>
              <w:rPr>
                <w:rFonts w:ascii="Arial Narrow" w:hAnsi="Arial Narrow"/>
                <w:sz w:val="22"/>
                <w:szCs w:val="22"/>
              </w:rPr>
            </w:pPr>
            <w:proofErr w:type="spellStart"/>
            <w:r w:rsidRPr="003151FB">
              <w:rPr>
                <w:rFonts w:ascii="Arial Narrow" w:hAnsi="Arial Narrow"/>
                <w:sz w:val="22"/>
                <w:szCs w:val="22"/>
              </w:rPr>
              <w:t>Caplacizumab</w:t>
            </w:r>
            <w:proofErr w:type="spellEnd"/>
            <w:r w:rsidRPr="003151FB">
              <w:rPr>
                <w:rFonts w:ascii="Arial Narrow" w:hAnsi="Arial Narrow"/>
                <w:sz w:val="22"/>
                <w:szCs w:val="22"/>
              </w:rPr>
              <w:t xml:space="preserve"> wird zur Behandlung von Erwachsenen und Jugendlichen ab 12 Jahren und einem Körpergewicht von mindestens 40 kg, die an einer Episode von erworbener thrombotisch-</w:t>
            </w:r>
            <w:proofErr w:type="spellStart"/>
            <w:r w:rsidRPr="003151FB">
              <w:rPr>
                <w:rFonts w:ascii="Arial Narrow" w:hAnsi="Arial Narrow"/>
                <w:sz w:val="22"/>
                <w:szCs w:val="22"/>
              </w:rPr>
              <w:t>thrombozytopenischer</w:t>
            </w:r>
            <w:proofErr w:type="spellEnd"/>
            <w:r w:rsidRPr="003151FB">
              <w:rPr>
                <w:rFonts w:ascii="Arial Narrow" w:hAnsi="Arial Narrow"/>
                <w:sz w:val="22"/>
                <w:szCs w:val="22"/>
              </w:rPr>
              <w:t xml:space="preserve"> Purpura (</w:t>
            </w:r>
            <w:proofErr w:type="spellStart"/>
            <w:r w:rsidRPr="003151FB">
              <w:rPr>
                <w:rFonts w:ascii="Arial Narrow" w:hAnsi="Arial Narrow"/>
                <w:sz w:val="22"/>
                <w:szCs w:val="22"/>
              </w:rPr>
              <w:t>acquired</w:t>
            </w:r>
            <w:proofErr w:type="spellEnd"/>
            <w:r w:rsidRPr="003151FB">
              <w:rPr>
                <w:rFonts w:ascii="Arial Narrow" w:hAnsi="Arial Narrow"/>
                <w:sz w:val="22"/>
                <w:szCs w:val="22"/>
              </w:rPr>
              <w:t xml:space="preserve"> </w:t>
            </w:r>
            <w:proofErr w:type="spellStart"/>
            <w:r w:rsidRPr="003151FB">
              <w:rPr>
                <w:rFonts w:ascii="Arial Narrow" w:hAnsi="Arial Narrow"/>
                <w:sz w:val="22"/>
                <w:szCs w:val="22"/>
              </w:rPr>
              <w:t>thrombotic</w:t>
            </w:r>
            <w:proofErr w:type="spellEnd"/>
            <w:r w:rsidRPr="003151FB">
              <w:rPr>
                <w:rFonts w:ascii="Arial Narrow" w:hAnsi="Arial Narrow"/>
                <w:sz w:val="22"/>
                <w:szCs w:val="22"/>
              </w:rPr>
              <w:t xml:space="preserve"> </w:t>
            </w:r>
            <w:proofErr w:type="spellStart"/>
            <w:r w:rsidRPr="003151FB">
              <w:rPr>
                <w:rFonts w:ascii="Arial Narrow" w:hAnsi="Arial Narrow"/>
                <w:sz w:val="22"/>
                <w:szCs w:val="22"/>
              </w:rPr>
              <w:t>thrombocytopenic</w:t>
            </w:r>
            <w:proofErr w:type="spellEnd"/>
            <w:r w:rsidRPr="003151FB">
              <w:rPr>
                <w:rFonts w:ascii="Arial Narrow" w:hAnsi="Arial Narrow"/>
                <w:sz w:val="22"/>
                <w:szCs w:val="22"/>
              </w:rPr>
              <w:t xml:space="preserve"> </w:t>
            </w:r>
            <w:proofErr w:type="spellStart"/>
            <w:r w:rsidRPr="003151FB">
              <w:rPr>
                <w:rFonts w:ascii="Arial Narrow" w:hAnsi="Arial Narrow"/>
                <w:sz w:val="22"/>
                <w:szCs w:val="22"/>
              </w:rPr>
              <w:t>purpura</w:t>
            </w:r>
            <w:proofErr w:type="spellEnd"/>
            <w:r w:rsidRPr="003151FB">
              <w:rPr>
                <w:rFonts w:ascii="Arial Narrow" w:hAnsi="Arial Narrow"/>
                <w:sz w:val="22"/>
                <w:szCs w:val="22"/>
              </w:rPr>
              <w:t xml:space="preserve">, </w:t>
            </w:r>
            <w:proofErr w:type="spellStart"/>
            <w:r w:rsidRPr="003151FB">
              <w:rPr>
                <w:rFonts w:ascii="Arial Narrow" w:hAnsi="Arial Narrow"/>
                <w:sz w:val="22"/>
                <w:szCs w:val="22"/>
              </w:rPr>
              <w:t>aTTP</w:t>
            </w:r>
            <w:proofErr w:type="spellEnd"/>
            <w:r w:rsidRPr="003151FB">
              <w:rPr>
                <w:rFonts w:ascii="Arial Narrow" w:hAnsi="Arial Narrow"/>
                <w:sz w:val="22"/>
                <w:szCs w:val="22"/>
              </w:rPr>
              <w:t xml:space="preserve">) leiden, in Verbindung mit </w:t>
            </w:r>
            <w:proofErr w:type="spellStart"/>
            <w:r w:rsidRPr="003151FB">
              <w:rPr>
                <w:rFonts w:ascii="Arial Narrow" w:hAnsi="Arial Narrow"/>
                <w:sz w:val="22"/>
                <w:szCs w:val="22"/>
              </w:rPr>
              <w:t>Plasmapherese</w:t>
            </w:r>
            <w:proofErr w:type="spellEnd"/>
            <w:r w:rsidRPr="003151FB">
              <w:rPr>
                <w:rFonts w:ascii="Arial Narrow" w:hAnsi="Arial Narrow"/>
                <w:sz w:val="22"/>
                <w:szCs w:val="22"/>
              </w:rPr>
              <w:t xml:space="preserve"> und</w:t>
            </w:r>
          </w:p>
          <w:p w14:paraId="3C82511B" w14:textId="77777777" w:rsidR="003151FB" w:rsidRPr="003151FB" w:rsidRDefault="003151FB" w:rsidP="003151FB">
            <w:pPr>
              <w:spacing w:after="0"/>
              <w:rPr>
                <w:rFonts w:ascii="Arial Narrow" w:hAnsi="Arial Narrow"/>
                <w:sz w:val="22"/>
                <w:szCs w:val="22"/>
                <w:lang w:val="en-US"/>
              </w:rPr>
            </w:pPr>
            <w:proofErr w:type="spellStart"/>
            <w:r w:rsidRPr="003151FB">
              <w:rPr>
                <w:rFonts w:ascii="Arial Narrow" w:hAnsi="Arial Narrow"/>
                <w:sz w:val="22"/>
                <w:szCs w:val="22"/>
                <w:lang w:val="en-US"/>
              </w:rPr>
              <w:t>Immunsuppression</w:t>
            </w:r>
            <w:proofErr w:type="spellEnd"/>
            <w:r w:rsidRPr="003151FB">
              <w:rPr>
                <w:rFonts w:ascii="Arial Narrow" w:hAnsi="Arial Narrow"/>
                <w:sz w:val="22"/>
                <w:szCs w:val="22"/>
                <w:lang w:val="en-US"/>
              </w:rPr>
              <w:t xml:space="preserve"> </w:t>
            </w:r>
            <w:proofErr w:type="spellStart"/>
            <w:r w:rsidRPr="003151FB">
              <w:rPr>
                <w:rFonts w:ascii="Arial Narrow" w:hAnsi="Arial Narrow"/>
                <w:sz w:val="22"/>
                <w:szCs w:val="22"/>
                <w:lang w:val="en-US"/>
              </w:rPr>
              <w:t>angewendet</w:t>
            </w:r>
            <w:proofErr w:type="spellEnd"/>
            <w:r w:rsidRPr="003151FB">
              <w:rPr>
                <w:rFonts w:ascii="Arial Narrow" w:hAnsi="Arial Narrow"/>
                <w:sz w:val="22"/>
                <w:szCs w:val="22"/>
                <w:lang w:val="en-US"/>
              </w:rPr>
              <w:t>.</w:t>
            </w:r>
          </w:p>
        </w:tc>
      </w:tr>
    </w:tbl>
    <w:p w14:paraId="1803EBE3"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010DFC7"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97D1EB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bestehende Methode wird durch die neue Methode abgelöst oder ergänzt?</w:t>
            </w:r>
          </w:p>
        </w:tc>
      </w:tr>
      <w:tr w:rsidR="003151FB" w:rsidRPr="003151FB" w14:paraId="33A68C77" w14:textId="77777777" w:rsidTr="003151FB">
        <w:trPr>
          <w:trHeight w:val="758"/>
        </w:trPr>
        <w:tc>
          <w:tcPr>
            <w:tcW w:w="9215" w:type="dxa"/>
            <w:tcBorders>
              <w:top w:val="single" w:sz="4" w:space="0" w:color="000000"/>
              <w:left w:val="single" w:sz="4" w:space="0" w:color="000000"/>
              <w:bottom w:val="single" w:sz="4" w:space="0" w:color="000000"/>
              <w:right w:val="single" w:sz="4" w:space="0" w:color="000000"/>
            </w:tcBorders>
            <w:hideMark/>
          </w:tcPr>
          <w:p w14:paraId="226581BA" w14:textId="77777777" w:rsidR="003151FB" w:rsidRPr="003151FB" w:rsidRDefault="003151FB" w:rsidP="003151FB">
            <w:pPr>
              <w:spacing w:after="0"/>
              <w:rPr>
                <w:rFonts w:ascii="Arial Narrow" w:hAnsi="Arial Narrow"/>
                <w:sz w:val="22"/>
                <w:szCs w:val="22"/>
              </w:rPr>
            </w:pPr>
            <w:proofErr w:type="spellStart"/>
            <w:r w:rsidRPr="003151FB">
              <w:rPr>
                <w:rFonts w:ascii="Arial Narrow" w:hAnsi="Arial Narrow"/>
                <w:sz w:val="22"/>
                <w:szCs w:val="22"/>
              </w:rPr>
              <w:t>Caplacizumab</w:t>
            </w:r>
            <w:proofErr w:type="spellEnd"/>
            <w:r w:rsidRPr="003151FB">
              <w:rPr>
                <w:rFonts w:ascii="Arial Narrow" w:hAnsi="Arial Narrow"/>
                <w:sz w:val="22"/>
                <w:szCs w:val="22"/>
              </w:rPr>
              <w:t xml:space="preserve"> wird zusätzlich zu der derzeitigen Standardtherapie Plasmaaustausch/</w:t>
            </w:r>
            <w:proofErr w:type="spellStart"/>
            <w:r w:rsidRPr="003151FB">
              <w:rPr>
                <w:rFonts w:ascii="Arial Narrow" w:hAnsi="Arial Narrow"/>
                <w:sz w:val="22"/>
                <w:szCs w:val="22"/>
              </w:rPr>
              <w:t>Plasmapherese</w:t>
            </w:r>
            <w:proofErr w:type="spellEnd"/>
            <w:r w:rsidRPr="003151FB">
              <w:rPr>
                <w:rFonts w:ascii="Arial Narrow" w:hAnsi="Arial Narrow"/>
                <w:sz w:val="22"/>
                <w:szCs w:val="22"/>
              </w:rPr>
              <w:t xml:space="preserve"> und</w:t>
            </w:r>
          </w:p>
          <w:p w14:paraId="2B2E8B66"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Immunsuppression und / oder einer zusätzlichen Behandlung nach Wahl des behandelnden Arztes, die auf die Kontrolle der zugrunde liegenden Autoimmunprozesse ausgerichtet sind, eingesetzt.</w:t>
            </w:r>
          </w:p>
        </w:tc>
      </w:tr>
    </w:tbl>
    <w:p w14:paraId="259D4819" w14:textId="77777777" w:rsidR="003151FB" w:rsidRDefault="003151FB"/>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2DB1980"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68AA285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Ist die Methode vollständig oder in Teilen neu und warum handelt es sich um eine neue Untersuchungs- und Behandlungsmethode?</w:t>
            </w:r>
          </w:p>
        </w:tc>
      </w:tr>
      <w:tr w:rsidR="003151FB" w:rsidRPr="003151FB" w14:paraId="41A6F364"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A6E39AA" w14:textId="6A7AB160" w:rsidR="003151FB" w:rsidRPr="003151FB" w:rsidRDefault="003151FB" w:rsidP="003151FB">
            <w:pPr>
              <w:spacing w:after="0"/>
              <w:rPr>
                <w:rFonts w:ascii="Arial Narrow" w:hAnsi="Arial Narrow"/>
                <w:sz w:val="22"/>
                <w:szCs w:val="22"/>
              </w:rPr>
            </w:pPr>
            <w:r w:rsidRPr="003151FB">
              <w:rPr>
                <w:rFonts w:ascii="Arial Narrow" w:hAnsi="Arial Narrow"/>
                <w:sz w:val="22"/>
                <w:szCs w:val="22"/>
              </w:rPr>
              <w:t xml:space="preserve">In den Informationen nach §6 Abs. 2 </w:t>
            </w:r>
            <w:proofErr w:type="spellStart"/>
            <w:r w:rsidRPr="003151FB">
              <w:rPr>
                <w:rFonts w:ascii="Arial Narrow" w:hAnsi="Arial Narrow"/>
                <w:sz w:val="22"/>
                <w:szCs w:val="22"/>
              </w:rPr>
              <w:t>KHEntgG</w:t>
            </w:r>
            <w:proofErr w:type="spellEnd"/>
            <w:r w:rsidRPr="003151FB">
              <w:rPr>
                <w:rFonts w:ascii="Arial Narrow" w:hAnsi="Arial Narrow"/>
                <w:sz w:val="22"/>
                <w:szCs w:val="22"/>
              </w:rPr>
              <w:t xml:space="preserve"> für 202</w:t>
            </w:r>
            <w:r w:rsidR="009E6C3A">
              <w:rPr>
                <w:rFonts w:ascii="Arial Narrow" w:hAnsi="Arial Narrow"/>
                <w:sz w:val="22"/>
                <w:szCs w:val="22"/>
              </w:rPr>
              <w:t>5</w:t>
            </w:r>
            <w:r w:rsidRPr="003151FB">
              <w:rPr>
                <w:rFonts w:ascii="Arial Narrow" w:hAnsi="Arial Narrow"/>
                <w:sz w:val="22"/>
                <w:szCs w:val="22"/>
              </w:rPr>
              <w:t xml:space="preserve"> hat </w:t>
            </w:r>
            <w:proofErr w:type="spellStart"/>
            <w:r w:rsidRPr="003151FB">
              <w:rPr>
                <w:rFonts w:ascii="Arial Narrow" w:hAnsi="Arial Narrow"/>
                <w:sz w:val="22"/>
                <w:szCs w:val="22"/>
              </w:rPr>
              <w:t>Caplacizumab</w:t>
            </w:r>
            <w:proofErr w:type="spellEnd"/>
            <w:r w:rsidRPr="003151FB">
              <w:rPr>
                <w:rFonts w:ascii="Arial Narrow" w:hAnsi="Arial Narrow"/>
                <w:sz w:val="22"/>
                <w:szCs w:val="22"/>
              </w:rPr>
              <w:t xml:space="preserve"> den Status 1.</w:t>
            </w:r>
          </w:p>
        </w:tc>
      </w:tr>
    </w:tbl>
    <w:p w14:paraId="3CD42BDB"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9E6453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2A332F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Auswirkungen hat die Methode auf die Verweildauer im Krankenhaus?</w:t>
            </w:r>
          </w:p>
        </w:tc>
      </w:tr>
      <w:tr w:rsidR="003151FB" w:rsidRPr="003151FB" w14:paraId="77415020" w14:textId="77777777" w:rsidTr="003151F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51F9CD2E"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Zur Veränderung der Verweildauer im Krankenhaus können derzeit aufgrund fehlender Erfahrungen keine Aussagen gemacht werden.</w:t>
            </w:r>
          </w:p>
        </w:tc>
      </w:tr>
    </w:tbl>
    <w:p w14:paraId="1FABC37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3CDCFB9A"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B76EFD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diese Methode in Deutschland eingeführt?</w:t>
            </w:r>
          </w:p>
        </w:tc>
      </w:tr>
      <w:tr w:rsidR="003151FB" w:rsidRPr="003151FB" w14:paraId="01FC4843"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4AD28A0"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1.10.2018</w:t>
            </w:r>
          </w:p>
        </w:tc>
      </w:tr>
    </w:tbl>
    <w:p w14:paraId="466CE66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0522B11B"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5AD05390"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Bei Medikamenten: Wann wurde dieses Medikament zugelassen?</w:t>
            </w:r>
          </w:p>
        </w:tc>
      </w:tr>
      <w:tr w:rsidR="003151FB" w:rsidRPr="003151FB" w14:paraId="1DCABCB7"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1EF0FA9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lastRenderedPageBreak/>
              <w:t>31.8.2018</w:t>
            </w:r>
          </w:p>
        </w:tc>
      </w:tr>
    </w:tbl>
    <w:p w14:paraId="05B678FF"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86A2A36"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444C912C"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Wann wurde bzw. wird die Methode in Ihrem Krankenhaus eingeführt?</w:t>
            </w:r>
          </w:p>
        </w:tc>
      </w:tr>
      <w:tr w:rsidR="003151FB" w:rsidRPr="003151FB" w14:paraId="222466ED"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BE242A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bl>
    <w:p w14:paraId="698D4C8A"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595F2C1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CBE3E0B"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In wie vielen Kliniken wird diese Methode derzeit eingesetzt (Schätzung)?</w:t>
            </w:r>
          </w:p>
        </w:tc>
      </w:tr>
      <w:tr w:rsidR="003151FB" w:rsidRPr="003151FB" w14:paraId="4FFC3DC4" w14:textId="77777777" w:rsidTr="003151FB">
        <w:trPr>
          <w:trHeight w:val="505"/>
        </w:trPr>
        <w:tc>
          <w:tcPr>
            <w:tcW w:w="9215" w:type="dxa"/>
            <w:tcBorders>
              <w:top w:val="single" w:sz="4" w:space="0" w:color="000000"/>
              <w:left w:val="single" w:sz="4" w:space="0" w:color="000000"/>
              <w:bottom w:val="single" w:sz="4" w:space="0" w:color="000000"/>
              <w:right w:val="single" w:sz="4" w:space="0" w:color="000000"/>
            </w:tcBorders>
            <w:hideMark/>
          </w:tcPr>
          <w:p w14:paraId="332C927B" w14:textId="7FF3A416" w:rsidR="003151FB" w:rsidRPr="003151FB" w:rsidRDefault="003151FB" w:rsidP="003151FB">
            <w:pPr>
              <w:spacing w:after="0"/>
              <w:rPr>
                <w:rFonts w:ascii="Arial Narrow" w:hAnsi="Arial Narrow"/>
                <w:sz w:val="22"/>
                <w:szCs w:val="22"/>
              </w:rPr>
            </w:pPr>
            <w:proofErr w:type="spellStart"/>
            <w:r w:rsidRPr="003151FB">
              <w:rPr>
                <w:rFonts w:ascii="Arial Narrow" w:hAnsi="Arial Narrow"/>
                <w:sz w:val="22"/>
                <w:szCs w:val="22"/>
              </w:rPr>
              <w:t>Caplacizumab</w:t>
            </w:r>
            <w:proofErr w:type="spellEnd"/>
            <w:r w:rsidRPr="003151FB">
              <w:rPr>
                <w:rFonts w:ascii="Arial Narrow" w:hAnsi="Arial Narrow"/>
                <w:sz w:val="22"/>
                <w:szCs w:val="22"/>
              </w:rPr>
              <w:t xml:space="preserve"> wird in ca. 5</w:t>
            </w:r>
            <w:r w:rsidR="009E6C3A">
              <w:rPr>
                <w:rFonts w:ascii="Arial Narrow" w:hAnsi="Arial Narrow"/>
                <w:sz w:val="22"/>
                <w:szCs w:val="22"/>
              </w:rPr>
              <w:t>3</w:t>
            </w:r>
            <w:r w:rsidRPr="003151FB">
              <w:rPr>
                <w:rFonts w:ascii="Arial Narrow" w:hAnsi="Arial Narrow"/>
                <w:sz w:val="22"/>
                <w:szCs w:val="22"/>
              </w:rPr>
              <w:t>0 Kliniken in Deutschland eingesetzt (Schätzung aufgrund der NUB-Anfragen des Vorjahres).</w:t>
            </w:r>
          </w:p>
        </w:tc>
      </w:tr>
    </w:tbl>
    <w:p w14:paraId="1ADA742D"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172C00D"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49A7B25F" w14:textId="0C126239"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Wie viele Patienten wurden in Ihrem Krankenhaus in 202</w:t>
            </w:r>
            <w:r w:rsidR="00FE5A81">
              <w:rPr>
                <w:rFonts w:ascii="Arial Narrow" w:hAnsi="Arial Narrow"/>
                <w:b/>
                <w:sz w:val="22"/>
                <w:szCs w:val="22"/>
              </w:rPr>
              <w:t>4</w:t>
            </w:r>
            <w:r w:rsidRPr="003151FB">
              <w:rPr>
                <w:rFonts w:ascii="Arial Narrow" w:hAnsi="Arial Narrow"/>
                <w:b/>
                <w:sz w:val="22"/>
                <w:szCs w:val="22"/>
              </w:rPr>
              <w:t xml:space="preserve"> oder in 202</w:t>
            </w:r>
            <w:r w:rsidR="00FE5A81">
              <w:rPr>
                <w:rFonts w:ascii="Arial Narrow" w:hAnsi="Arial Narrow"/>
                <w:b/>
                <w:sz w:val="22"/>
                <w:szCs w:val="22"/>
              </w:rPr>
              <w:t>5</w:t>
            </w:r>
            <w:r w:rsidRPr="003151FB">
              <w:rPr>
                <w:rFonts w:ascii="Arial Narrow" w:hAnsi="Arial Narrow"/>
                <w:b/>
                <w:sz w:val="22"/>
                <w:szCs w:val="22"/>
              </w:rPr>
              <w:t xml:space="preserve"> mit dieser Methode behandelt?</w:t>
            </w:r>
          </w:p>
        </w:tc>
      </w:tr>
      <w:tr w:rsidR="003151FB" w:rsidRPr="003151FB" w14:paraId="7CFC5DF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6A3E8EE2" w14:textId="384EEB4A"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w:t>
            </w:r>
            <w:r w:rsidR="00FE5A81">
              <w:rPr>
                <w:rFonts w:ascii="Arial Narrow" w:hAnsi="Arial Narrow"/>
                <w:sz w:val="22"/>
                <w:szCs w:val="22"/>
                <w:lang w:val="en-US"/>
              </w:rPr>
              <w:t>4</w:t>
            </w:r>
          </w:p>
        </w:tc>
      </w:tr>
      <w:tr w:rsidR="003151FB" w:rsidRPr="003151FB" w14:paraId="482430B3"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8AE0C8B"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r w:rsidR="003151FB" w:rsidRPr="003151FB" w14:paraId="06C2D04B"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2F6D14C7" w14:textId="46A553C5"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In 202</w:t>
            </w:r>
            <w:r w:rsidR="00FE5A81">
              <w:rPr>
                <w:rFonts w:ascii="Arial Narrow" w:hAnsi="Arial Narrow"/>
                <w:sz w:val="22"/>
                <w:szCs w:val="22"/>
                <w:lang w:val="en-US"/>
              </w:rPr>
              <w:t>5</w:t>
            </w:r>
          </w:p>
        </w:tc>
      </w:tr>
      <w:tr w:rsidR="003151FB" w:rsidRPr="003151FB" w14:paraId="50A46609"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7ABD70F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lang w:val="en-US"/>
              </w:rPr>
              <w:t>bitte</w:t>
            </w:r>
            <w:proofErr w:type="spellEnd"/>
            <w:r w:rsidRPr="003151FB">
              <w:rPr>
                <w:rFonts w:ascii="Arial Narrow" w:hAnsi="Arial Narrow"/>
                <w:sz w:val="22"/>
                <w:szCs w:val="22"/>
                <w:lang w:val="en-US"/>
              </w:rPr>
              <w:t xml:space="preserve"> </w:t>
            </w:r>
            <w:proofErr w:type="spellStart"/>
            <w:r w:rsidRPr="003151FB">
              <w:rPr>
                <w:rFonts w:ascii="Arial Narrow" w:hAnsi="Arial Narrow"/>
                <w:sz w:val="22"/>
                <w:szCs w:val="22"/>
                <w:lang w:val="en-US"/>
              </w:rPr>
              <w:t>ergänzen</w:t>
            </w:r>
            <w:proofErr w:type="spellEnd"/>
            <w:r w:rsidRPr="003151FB">
              <w:rPr>
                <w:rFonts w:ascii="Arial Narrow" w:hAnsi="Arial Narrow"/>
                <w:sz w:val="22"/>
                <w:szCs w:val="22"/>
                <w:lang w:val="en-US"/>
              </w:rPr>
              <w:t>]</w:t>
            </w:r>
          </w:p>
        </w:tc>
      </w:tr>
    </w:tbl>
    <w:p w14:paraId="4DEB5617"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F84293E" w14:textId="77777777" w:rsidTr="003151FB">
        <w:trPr>
          <w:trHeight w:val="254"/>
        </w:trPr>
        <w:tc>
          <w:tcPr>
            <w:tcW w:w="9215" w:type="dxa"/>
            <w:tcBorders>
              <w:top w:val="single" w:sz="4" w:space="0" w:color="000000"/>
              <w:left w:val="single" w:sz="4" w:space="0" w:color="000000"/>
              <w:bottom w:val="single" w:sz="4" w:space="0" w:color="000000"/>
              <w:right w:val="single" w:sz="4" w:space="0" w:color="000000"/>
            </w:tcBorders>
            <w:hideMark/>
          </w:tcPr>
          <w:p w14:paraId="58527CA2" w14:textId="4F8B76E5" w:rsidR="003151FB" w:rsidRPr="003151FB" w:rsidRDefault="003151FB" w:rsidP="003151FB">
            <w:pPr>
              <w:spacing w:after="0"/>
              <w:rPr>
                <w:rFonts w:ascii="Arial Narrow" w:hAnsi="Arial Narrow"/>
                <w:b/>
                <w:sz w:val="22"/>
                <w:szCs w:val="22"/>
              </w:rPr>
            </w:pPr>
            <w:proofErr w:type="spellStart"/>
            <w:r w:rsidRPr="003151FB">
              <w:rPr>
                <w:rFonts w:ascii="Arial Narrow" w:hAnsi="Arial Narrow"/>
                <w:b/>
                <w:sz w:val="22"/>
                <w:szCs w:val="22"/>
              </w:rPr>
              <w:t>Wieviele</w:t>
            </w:r>
            <w:proofErr w:type="spellEnd"/>
            <w:r w:rsidRPr="003151FB">
              <w:rPr>
                <w:rFonts w:ascii="Arial Narrow" w:hAnsi="Arial Narrow"/>
                <w:b/>
                <w:sz w:val="22"/>
                <w:szCs w:val="22"/>
              </w:rPr>
              <w:t xml:space="preserve"> Patienten planen Sie im Jahr 202</w:t>
            </w:r>
            <w:r w:rsidR="00FE5A81">
              <w:rPr>
                <w:rFonts w:ascii="Arial Narrow" w:hAnsi="Arial Narrow"/>
                <w:b/>
                <w:sz w:val="22"/>
                <w:szCs w:val="22"/>
              </w:rPr>
              <w:t>6</w:t>
            </w:r>
            <w:r w:rsidRPr="003151FB">
              <w:rPr>
                <w:rFonts w:ascii="Arial Narrow" w:hAnsi="Arial Narrow"/>
                <w:b/>
                <w:sz w:val="22"/>
                <w:szCs w:val="22"/>
              </w:rPr>
              <w:t xml:space="preserve"> mit dieser Methode zu behandeln?</w:t>
            </w:r>
          </w:p>
        </w:tc>
      </w:tr>
      <w:tr w:rsidR="003151FB" w:rsidRPr="003151FB" w14:paraId="760249DF"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3C2F19EC" w14:textId="7777777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w:t>
            </w:r>
            <w:proofErr w:type="spellStart"/>
            <w:r w:rsidRPr="003151FB">
              <w:rPr>
                <w:rFonts w:ascii="Arial Narrow" w:hAnsi="Arial Narrow"/>
                <w:sz w:val="22"/>
                <w:szCs w:val="22"/>
                <w:highlight w:val="yellow"/>
                <w:lang w:val="en-US"/>
              </w:rPr>
              <w:t>bitte</w:t>
            </w:r>
            <w:proofErr w:type="spellEnd"/>
            <w:r w:rsidRPr="003151FB">
              <w:rPr>
                <w:rFonts w:ascii="Arial Narrow" w:hAnsi="Arial Narrow"/>
                <w:sz w:val="22"/>
                <w:szCs w:val="22"/>
                <w:highlight w:val="yellow"/>
                <w:lang w:val="en-US"/>
              </w:rPr>
              <w:t xml:space="preserve"> </w:t>
            </w:r>
            <w:proofErr w:type="spellStart"/>
            <w:r w:rsidRPr="003151FB">
              <w:rPr>
                <w:rFonts w:ascii="Arial Narrow" w:hAnsi="Arial Narrow"/>
                <w:sz w:val="22"/>
                <w:szCs w:val="22"/>
                <w:highlight w:val="yellow"/>
                <w:lang w:val="en-US"/>
              </w:rPr>
              <w:t>ergänzen</w:t>
            </w:r>
            <w:proofErr w:type="spellEnd"/>
            <w:r w:rsidRPr="003151FB">
              <w:rPr>
                <w:rFonts w:ascii="Arial Narrow" w:hAnsi="Arial Narrow"/>
                <w:sz w:val="22"/>
                <w:szCs w:val="22"/>
                <w:highlight w:val="yellow"/>
                <w:lang w:val="en-US"/>
              </w:rPr>
              <w:t>]</w:t>
            </w:r>
          </w:p>
        </w:tc>
      </w:tr>
    </w:tbl>
    <w:p w14:paraId="7C459A96" w14:textId="77777777" w:rsidR="006A7E7F" w:rsidRDefault="006A7E7F"/>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455CA6BD" w14:textId="77777777" w:rsidTr="003151FB">
        <w:trPr>
          <w:trHeight w:val="503"/>
        </w:trPr>
        <w:tc>
          <w:tcPr>
            <w:tcW w:w="9215" w:type="dxa"/>
            <w:tcBorders>
              <w:top w:val="single" w:sz="4" w:space="0" w:color="000000"/>
              <w:left w:val="single" w:sz="4" w:space="0" w:color="000000"/>
              <w:bottom w:val="single" w:sz="4" w:space="0" w:color="000000"/>
              <w:right w:val="single" w:sz="4" w:space="0" w:color="000000"/>
            </w:tcBorders>
            <w:hideMark/>
          </w:tcPr>
          <w:p w14:paraId="562C96C4" w14:textId="77777777" w:rsidR="009E6C3A" w:rsidRDefault="009E6C3A" w:rsidP="009E6C3A">
            <w:pPr>
              <w:pStyle w:val="Default"/>
              <w:rPr>
                <w:sz w:val="22"/>
                <w:szCs w:val="22"/>
              </w:rPr>
            </w:pPr>
            <w:r>
              <w:rPr>
                <w:b/>
                <w:bCs/>
                <w:sz w:val="22"/>
                <w:szCs w:val="22"/>
              </w:rPr>
              <w:t xml:space="preserve">Entstehen durch die neue Methode Mehrkosten gegenüber dem bisher üblichen Verfahren? Wenn ja, wodurch? In welcher Höhe (möglichst aufgetrennt nach Personal- und Sachkosten)? </w:t>
            </w:r>
          </w:p>
          <w:p w14:paraId="470FD49F" w14:textId="71443D29" w:rsidR="003151FB" w:rsidRPr="003151FB" w:rsidRDefault="003151FB" w:rsidP="003151FB">
            <w:pPr>
              <w:rPr>
                <w:b/>
              </w:rPr>
            </w:pPr>
          </w:p>
        </w:tc>
      </w:tr>
      <w:tr w:rsidR="003151FB" w:rsidRPr="003151FB" w14:paraId="4A7682DB" w14:textId="77777777" w:rsidTr="003151FB">
        <w:trPr>
          <w:trHeight w:val="253"/>
        </w:trPr>
        <w:tc>
          <w:tcPr>
            <w:tcW w:w="9215" w:type="dxa"/>
            <w:tcBorders>
              <w:top w:val="single" w:sz="4" w:space="0" w:color="000000"/>
              <w:left w:val="single" w:sz="4" w:space="0" w:color="000000"/>
              <w:bottom w:val="single" w:sz="4" w:space="0" w:color="000000"/>
              <w:right w:val="single" w:sz="4" w:space="0" w:color="000000"/>
            </w:tcBorders>
            <w:hideMark/>
          </w:tcPr>
          <w:p w14:paraId="0E7570D6" w14:textId="77777777" w:rsidR="003151FB" w:rsidRPr="003151FB" w:rsidRDefault="003151FB" w:rsidP="003151FB">
            <w:pPr>
              <w:rPr>
                <w:lang w:val="en-US"/>
              </w:rPr>
            </w:pPr>
            <w:proofErr w:type="spellStart"/>
            <w:r w:rsidRPr="003151FB">
              <w:rPr>
                <w:lang w:val="en-US"/>
              </w:rPr>
              <w:t>Sachkosten</w:t>
            </w:r>
            <w:proofErr w:type="spellEnd"/>
            <w:r w:rsidRPr="003151FB">
              <w:rPr>
                <w:lang w:val="en-US"/>
              </w:rPr>
              <w:t>:</w:t>
            </w:r>
          </w:p>
        </w:tc>
      </w:tr>
    </w:tbl>
    <w:p w14:paraId="16819A36" w14:textId="77777777" w:rsidR="006A7E7F" w:rsidRDefault="006A7E7F"/>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6EEB807C" w14:textId="77777777" w:rsidTr="009E6C3A">
        <w:trPr>
          <w:trHeight w:val="798"/>
        </w:trPr>
        <w:tc>
          <w:tcPr>
            <w:tcW w:w="9215" w:type="dxa"/>
            <w:tcBorders>
              <w:top w:val="single" w:sz="4" w:space="0" w:color="000000"/>
              <w:left w:val="single" w:sz="4" w:space="0" w:color="000000"/>
              <w:bottom w:val="single" w:sz="4" w:space="0" w:color="000000"/>
              <w:right w:val="single" w:sz="4" w:space="0" w:color="000000"/>
            </w:tcBorders>
            <w:hideMark/>
          </w:tcPr>
          <w:p w14:paraId="3C1CA321" w14:textId="61EB41A8" w:rsidR="003151FB" w:rsidRPr="003151FB" w:rsidRDefault="003151FB" w:rsidP="009E6C3A">
            <w:pPr>
              <w:spacing w:after="0"/>
              <w:rPr>
                <w:rFonts w:ascii="Arial Narrow" w:hAnsi="Arial Narrow"/>
                <w:sz w:val="22"/>
                <w:szCs w:val="22"/>
              </w:rPr>
            </w:pPr>
            <w:r w:rsidRPr="003151FB">
              <w:rPr>
                <w:rFonts w:ascii="Arial Narrow" w:hAnsi="Arial Narrow"/>
                <w:sz w:val="22"/>
                <w:szCs w:val="22"/>
              </w:rPr>
              <w:t xml:space="preserve">Packungsgröße 7 Flaschen zu 10 mg kosten 30.708,37 € (Rote Liste (AVP (FB/EB) inkl. MwSt., Stand </w:t>
            </w:r>
            <w:r w:rsidR="009E6C3A">
              <w:rPr>
                <w:rFonts w:ascii="Arial Narrow" w:hAnsi="Arial Narrow"/>
                <w:sz w:val="22"/>
                <w:szCs w:val="22"/>
              </w:rPr>
              <w:t>29.07.2025</w:t>
            </w:r>
            <w:r w:rsidRPr="003151FB">
              <w:rPr>
                <w:rFonts w:ascii="Arial Narrow" w:hAnsi="Arial Narrow"/>
                <w:sz w:val="22"/>
                <w:szCs w:val="22"/>
              </w:rPr>
              <w:t xml:space="preserve">). Die Tagesdosis von </w:t>
            </w:r>
            <w:proofErr w:type="spellStart"/>
            <w:r w:rsidRPr="003151FB">
              <w:rPr>
                <w:rFonts w:ascii="Arial Narrow" w:hAnsi="Arial Narrow"/>
                <w:sz w:val="22"/>
                <w:szCs w:val="22"/>
              </w:rPr>
              <w:t>Caplacizumab</w:t>
            </w:r>
            <w:proofErr w:type="spellEnd"/>
            <w:r w:rsidRPr="003151FB">
              <w:rPr>
                <w:rFonts w:ascii="Arial Narrow" w:hAnsi="Arial Narrow"/>
                <w:sz w:val="22"/>
                <w:szCs w:val="22"/>
              </w:rPr>
              <w:t xml:space="preserve"> beträgt 10 mg, zu geben für die Dauer der täglichen </w:t>
            </w:r>
            <w:proofErr w:type="spellStart"/>
            <w:r w:rsidRPr="003151FB">
              <w:rPr>
                <w:rFonts w:ascii="Arial Narrow" w:hAnsi="Arial Narrow"/>
                <w:sz w:val="22"/>
                <w:szCs w:val="22"/>
              </w:rPr>
              <w:t>Plasmapheresenbehandlung</w:t>
            </w:r>
            <w:proofErr w:type="spellEnd"/>
            <w:r w:rsidRPr="003151FB">
              <w:rPr>
                <w:rFonts w:ascii="Arial Narrow" w:hAnsi="Arial Narrow"/>
                <w:sz w:val="22"/>
                <w:szCs w:val="22"/>
              </w:rPr>
              <w:t xml:space="preserve">: 10 mg täglich subkutan nach Abschluss einer jeden </w:t>
            </w:r>
            <w:proofErr w:type="spellStart"/>
            <w:r w:rsidRPr="003151FB">
              <w:rPr>
                <w:rFonts w:ascii="Arial Narrow" w:hAnsi="Arial Narrow"/>
                <w:sz w:val="22"/>
                <w:szCs w:val="22"/>
              </w:rPr>
              <w:t>Plasmapherese</w:t>
            </w:r>
            <w:proofErr w:type="spellEnd"/>
            <w:r w:rsidRPr="003151FB">
              <w:rPr>
                <w:rFonts w:ascii="Arial Narrow" w:hAnsi="Arial Narrow"/>
                <w:sz w:val="22"/>
                <w:szCs w:val="22"/>
              </w:rPr>
              <w:t xml:space="preserve"> und fortgesetzt bis 30 Tage nach Ende der </w:t>
            </w:r>
            <w:proofErr w:type="spellStart"/>
            <w:r w:rsidRPr="003151FB">
              <w:rPr>
                <w:rFonts w:ascii="Arial Narrow" w:hAnsi="Arial Narrow"/>
                <w:sz w:val="22"/>
                <w:szCs w:val="22"/>
              </w:rPr>
              <w:t>Plasmapheresebehandlung</w:t>
            </w:r>
            <w:proofErr w:type="spellEnd"/>
            <w:r w:rsidRPr="003151FB">
              <w:rPr>
                <w:rFonts w:ascii="Arial Narrow" w:hAnsi="Arial Narrow"/>
                <w:sz w:val="22"/>
                <w:szCs w:val="22"/>
              </w:rPr>
              <w:t>.</w:t>
            </w:r>
          </w:p>
          <w:p w14:paraId="31AAFA5D"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 xml:space="preserve">Durch die Gabe von </w:t>
            </w:r>
            <w:proofErr w:type="spellStart"/>
            <w:r w:rsidRPr="003151FB">
              <w:rPr>
                <w:rFonts w:ascii="Arial Narrow" w:hAnsi="Arial Narrow"/>
                <w:sz w:val="22"/>
                <w:szCs w:val="22"/>
              </w:rPr>
              <w:t>Caplacizumab</w:t>
            </w:r>
            <w:proofErr w:type="spellEnd"/>
            <w:r w:rsidRPr="003151FB">
              <w:rPr>
                <w:rFonts w:ascii="Arial Narrow" w:hAnsi="Arial Narrow"/>
                <w:sz w:val="22"/>
                <w:szCs w:val="22"/>
              </w:rPr>
              <w:t xml:space="preserve"> entstehen Zusatzkosten für die zu verabreichende Therapie in Höhe von: 4.386,91 € / Tag.</w:t>
            </w:r>
          </w:p>
          <w:p w14:paraId="07537F4E" w14:textId="53DD130C" w:rsidR="003151FB" w:rsidRPr="003151FB" w:rsidRDefault="003151FB" w:rsidP="009E6C3A">
            <w:pPr>
              <w:spacing w:after="0"/>
              <w:rPr>
                <w:rFonts w:ascii="Arial Narrow" w:hAnsi="Arial Narrow"/>
                <w:sz w:val="22"/>
                <w:szCs w:val="22"/>
              </w:rPr>
            </w:pPr>
            <w:r w:rsidRPr="003151FB">
              <w:rPr>
                <w:rFonts w:ascii="Arial Narrow" w:hAnsi="Arial Narrow"/>
                <w:sz w:val="22"/>
                <w:szCs w:val="22"/>
              </w:rPr>
              <w:t xml:space="preserve">Mittlere Verweildauer der Fallpauschale L72Z bei Gabe von </w:t>
            </w:r>
            <w:proofErr w:type="spellStart"/>
            <w:r w:rsidRPr="003151FB">
              <w:rPr>
                <w:rFonts w:ascii="Arial Narrow" w:hAnsi="Arial Narrow"/>
                <w:sz w:val="22"/>
                <w:szCs w:val="22"/>
              </w:rPr>
              <w:t>Caplacizumab</w:t>
            </w:r>
            <w:proofErr w:type="spellEnd"/>
            <w:r w:rsidRPr="003151FB">
              <w:rPr>
                <w:rFonts w:ascii="Arial Narrow" w:hAnsi="Arial Narrow"/>
                <w:sz w:val="22"/>
                <w:szCs w:val="22"/>
              </w:rPr>
              <w:t xml:space="preserve"> (</w:t>
            </w:r>
            <w:r w:rsidR="009E6C3A" w:rsidRPr="003151FB">
              <w:rPr>
                <w:rFonts w:ascii="Arial Narrow" w:hAnsi="Arial Narrow"/>
                <w:sz w:val="22"/>
                <w:szCs w:val="22"/>
              </w:rPr>
              <w:t>1</w:t>
            </w:r>
            <w:r w:rsidR="009E6C3A">
              <w:rPr>
                <w:rFonts w:ascii="Arial Narrow" w:hAnsi="Arial Narrow"/>
                <w:sz w:val="22"/>
                <w:szCs w:val="22"/>
              </w:rPr>
              <w:t>41</w:t>
            </w:r>
            <w:r w:rsidR="009E6C3A" w:rsidRPr="003151FB">
              <w:rPr>
                <w:rFonts w:ascii="Arial Narrow" w:hAnsi="Arial Narrow"/>
                <w:sz w:val="22"/>
                <w:szCs w:val="22"/>
              </w:rPr>
              <w:t xml:space="preserve"> </w:t>
            </w:r>
            <w:r w:rsidRPr="003151FB">
              <w:rPr>
                <w:rFonts w:ascii="Arial Narrow" w:hAnsi="Arial Narrow"/>
                <w:sz w:val="22"/>
                <w:szCs w:val="22"/>
              </w:rPr>
              <w:t xml:space="preserve">Fälle) beträgt </w:t>
            </w:r>
            <w:r w:rsidR="009E6C3A">
              <w:rPr>
                <w:rFonts w:ascii="Arial Narrow" w:hAnsi="Arial Narrow"/>
                <w:sz w:val="22"/>
                <w:szCs w:val="22"/>
              </w:rPr>
              <w:t>13,0</w:t>
            </w:r>
            <w:r w:rsidRPr="003151FB">
              <w:rPr>
                <w:rFonts w:ascii="Arial Narrow" w:hAnsi="Arial Narrow"/>
                <w:sz w:val="22"/>
                <w:szCs w:val="22"/>
              </w:rPr>
              <w:t xml:space="preserve"> Tage im Vergleich zu den Fällen in der L72Z ohne Gabe (</w:t>
            </w:r>
            <w:r w:rsidR="009E6C3A">
              <w:rPr>
                <w:rFonts w:ascii="Arial Narrow" w:hAnsi="Arial Narrow"/>
                <w:sz w:val="22"/>
                <w:szCs w:val="22"/>
              </w:rPr>
              <w:t>9,0</w:t>
            </w:r>
            <w:r w:rsidRPr="003151FB">
              <w:rPr>
                <w:rFonts w:ascii="Arial Narrow" w:hAnsi="Arial Narrow"/>
                <w:sz w:val="22"/>
                <w:szCs w:val="22"/>
              </w:rPr>
              <w:t xml:space="preserve"> Tage) .</w:t>
            </w:r>
          </w:p>
          <w:p w14:paraId="29478BAF"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Behandlung üblicher Weise ab Tag 1 des Aufenthalts. Kosten pro Aufenthalt im Mittel 14 x 4.386,91 € =</w:t>
            </w:r>
          </w:p>
          <w:p w14:paraId="38C682D4"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61.416,74 €.</w:t>
            </w:r>
          </w:p>
          <w:p w14:paraId="3295D915"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Personalkosten:</w:t>
            </w:r>
          </w:p>
          <w:p w14:paraId="39B5BAD8"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Für die Zubereitung: ca. 10 Minuten (MTD Apotheke)</w:t>
            </w:r>
          </w:p>
          <w:p w14:paraId="0BCDBD80"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lastRenderedPageBreak/>
              <w:t>Für die Applikation: ca. 30 Minuten (ÄD) und ca. 30 Minuten (PD) Für die Überwachung: ca. 30 Minuten (PD), ca. 30 Minuten (ÄD)</w:t>
            </w:r>
          </w:p>
        </w:tc>
      </w:tr>
    </w:tbl>
    <w:p w14:paraId="5BACFC99"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7BB225D5"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663549F"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Welche DRG(s) ist/sind am häufigsten von dieser Methode betroffen?</w:t>
            </w:r>
          </w:p>
        </w:tc>
      </w:tr>
      <w:tr w:rsidR="003151FB" w:rsidRPr="003151FB" w14:paraId="66134007" w14:textId="77777777" w:rsidTr="003151FB">
        <w:trPr>
          <w:trHeight w:val="506"/>
        </w:trPr>
        <w:tc>
          <w:tcPr>
            <w:tcW w:w="9215" w:type="dxa"/>
            <w:tcBorders>
              <w:top w:val="single" w:sz="4" w:space="0" w:color="000000"/>
              <w:left w:val="single" w:sz="4" w:space="0" w:color="000000"/>
              <w:bottom w:val="single" w:sz="4" w:space="0" w:color="000000"/>
              <w:right w:val="single" w:sz="4" w:space="0" w:color="000000"/>
            </w:tcBorders>
            <w:hideMark/>
          </w:tcPr>
          <w:p w14:paraId="7C6266EB" w14:textId="463EB027" w:rsidR="003151FB" w:rsidRPr="003151FB" w:rsidRDefault="003151FB" w:rsidP="003151FB">
            <w:pPr>
              <w:spacing w:after="0"/>
              <w:rPr>
                <w:rFonts w:ascii="Arial Narrow" w:hAnsi="Arial Narrow"/>
                <w:sz w:val="22"/>
                <w:szCs w:val="22"/>
                <w:lang w:val="en-US"/>
              </w:rPr>
            </w:pPr>
            <w:r w:rsidRPr="003151FB">
              <w:rPr>
                <w:rFonts w:ascii="Arial Narrow" w:hAnsi="Arial Narrow"/>
                <w:sz w:val="22"/>
                <w:szCs w:val="22"/>
                <w:lang w:val="en-US"/>
              </w:rPr>
              <w:t>L72Z</w:t>
            </w:r>
            <w:r w:rsidR="009E6C3A">
              <w:rPr>
                <w:rFonts w:ascii="Arial Narrow" w:hAnsi="Arial Narrow"/>
                <w:sz w:val="22"/>
                <w:szCs w:val="22"/>
                <w:lang w:val="en-US"/>
              </w:rPr>
              <w:t>,</w:t>
            </w:r>
            <w:r w:rsidRPr="003151FB">
              <w:rPr>
                <w:rFonts w:ascii="Arial Narrow" w:hAnsi="Arial Narrow"/>
                <w:sz w:val="22"/>
                <w:szCs w:val="22"/>
                <w:lang w:val="en-US"/>
              </w:rPr>
              <w:t xml:space="preserve"> Q60C</w:t>
            </w:r>
            <w:r w:rsidR="009E6C3A">
              <w:rPr>
                <w:rFonts w:ascii="Arial Narrow" w:hAnsi="Arial Narrow"/>
                <w:sz w:val="22"/>
                <w:szCs w:val="22"/>
                <w:lang w:val="en-US"/>
              </w:rPr>
              <w:t>, Q61B</w:t>
            </w:r>
          </w:p>
        </w:tc>
      </w:tr>
    </w:tbl>
    <w:p w14:paraId="0B8C33B9" w14:textId="77777777" w:rsidR="003151FB" w:rsidRPr="003151FB" w:rsidRDefault="003151FB" w:rsidP="003151FB">
      <w:pPr>
        <w:spacing w:after="0"/>
        <w:rPr>
          <w:rFonts w:ascii="Arial Narrow" w:hAnsi="Arial Narrow"/>
          <w:sz w:val="22"/>
          <w:szCs w:val="22"/>
        </w:rPr>
      </w:pP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215"/>
      </w:tblGrid>
      <w:tr w:rsidR="003151FB" w:rsidRPr="003151FB" w14:paraId="1948AA5C" w14:textId="77777777" w:rsidTr="003151FB">
        <w:trPr>
          <w:trHeight w:val="251"/>
        </w:trPr>
        <w:tc>
          <w:tcPr>
            <w:tcW w:w="9215" w:type="dxa"/>
            <w:tcBorders>
              <w:top w:val="single" w:sz="4" w:space="0" w:color="000000"/>
              <w:left w:val="single" w:sz="4" w:space="0" w:color="000000"/>
              <w:bottom w:val="single" w:sz="4" w:space="0" w:color="000000"/>
              <w:right w:val="single" w:sz="4" w:space="0" w:color="000000"/>
            </w:tcBorders>
            <w:hideMark/>
          </w:tcPr>
          <w:p w14:paraId="1CA8F842" w14:textId="77777777" w:rsidR="003151FB" w:rsidRPr="003151FB" w:rsidRDefault="003151FB" w:rsidP="003151FB">
            <w:pPr>
              <w:spacing w:after="0"/>
              <w:rPr>
                <w:rFonts w:ascii="Arial Narrow" w:hAnsi="Arial Narrow"/>
                <w:b/>
                <w:sz w:val="22"/>
                <w:szCs w:val="22"/>
              </w:rPr>
            </w:pPr>
            <w:r w:rsidRPr="003151FB">
              <w:rPr>
                <w:rFonts w:ascii="Arial Narrow" w:hAnsi="Arial Narrow"/>
                <w:b/>
                <w:sz w:val="22"/>
                <w:szCs w:val="22"/>
              </w:rPr>
              <w:t>Warum ist diese Methode aus Ihrer Sicht derzeit im G-DRG-System nicht sachgerecht abgebildet?</w:t>
            </w:r>
          </w:p>
        </w:tc>
      </w:tr>
      <w:tr w:rsidR="003151FB" w:rsidRPr="003151FB" w14:paraId="38E16F27" w14:textId="77777777" w:rsidTr="003151FB">
        <w:trPr>
          <w:trHeight w:val="3031"/>
        </w:trPr>
        <w:tc>
          <w:tcPr>
            <w:tcW w:w="9215" w:type="dxa"/>
            <w:tcBorders>
              <w:top w:val="single" w:sz="4" w:space="0" w:color="000000"/>
              <w:left w:val="single" w:sz="4" w:space="0" w:color="000000"/>
              <w:bottom w:val="single" w:sz="4" w:space="0" w:color="000000"/>
              <w:right w:val="single" w:sz="4" w:space="0" w:color="000000"/>
            </w:tcBorders>
            <w:hideMark/>
          </w:tcPr>
          <w:p w14:paraId="13BC4F9C" w14:textId="5E3AE1DF" w:rsidR="003151FB" w:rsidRPr="003151FB" w:rsidRDefault="003151FB" w:rsidP="003151FB">
            <w:pPr>
              <w:spacing w:after="0"/>
              <w:rPr>
                <w:rFonts w:ascii="Arial Narrow" w:hAnsi="Arial Narrow"/>
                <w:sz w:val="22"/>
                <w:szCs w:val="22"/>
              </w:rPr>
            </w:pPr>
            <w:proofErr w:type="spellStart"/>
            <w:r w:rsidRPr="003151FB">
              <w:rPr>
                <w:rFonts w:ascii="Arial Narrow" w:hAnsi="Arial Narrow"/>
                <w:sz w:val="22"/>
                <w:szCs w:val="22"/>
              </w:rPr>
              <w:t>Caplacizumab</w:t>
            </w:r>
            <w:proofErr w:type="spellEnd"/>
            <w:r w:rsidRPr="003151FB">
              <w:rPr>
                <w:rFonts w:ascii="Arial Narrow" w:hAnsi="Arial Narrow"/>
                <w:sz w:val="22"/>
                <w:szCs w:val="22"/>
              </w:rPr>
              <w:t xml:space="preserve"> wurde im Jahr 2018 zugelassen und ist seit dem Jahr 2018 in Deutschland auf d</w:t>
            </w:r>
            <w:r w:rsidR="009E6C3A">
              <w:rPr>
                <w:rFonts w:ascii="Arial Narrow" w:hAnsi="Arial Narrow"/>
                <w:sz w:val="22"/>
                <w:szCs w:val="22"/>
              </w:rPr>
              <w:t>em Markt. Für das Datenjahr 2024</w:t>
            </w:r>
            <w:r w:rsidRPr="003151FB">
              <w:rPr>
                <w:rFonts w:ascii="Arial Narrow" w:hAnsi="Arial Narrow"/>
                <w:sz w:val="22"/>
                <w:szCs w:val="22"/>
              </w:rPr>
              <w:t xml:space="preserve"> sollten aus den Kalkulationshäusern Kostendaten für den Einsatz vorliegen.</w:t>
            </w:r>
          </w:p>
          <w:p w14:paraId="3A46D263" w14:textId="427AC69D" w:rsidR="003151FB" w:rsidRPr="003151FB" w:rsidRDefault="003151FB" w:rsidP="003151FB">
            <w:pPr>
              <w:spacing w:after="0"/>
              <w:rPr>
                <w:rFonts w:ascii="Arial Narrow" w:hAnsi="Arial Narrow"/>
                <w:sz w:val="22"/>
                <w:szCs w:val="22"/>
              </w:rPr>
            </w:pPr>
            <w:r w:rsidRPr="003151FB">
              <w:rPr>
                <w:rFonts w:ascii="Arial Narrow" w:hAnsi="Arial Narrow"/>
                <w:sz w:val="22"/>
                <w:szCs w:val="22"/>
              </w:rPr>
              <w:t>Wir vermuten, dass die Stichprobe jedoch zu klein war, als dass genügend Kosten- und Leistungsinformationen aus den Krankenhäusern vorliegen, um damit eine sachgerecht</w:t>
            </w:r>
            <w:r w:rsidR="009E6C3A">
              <w:rPr>
                <w:rFonts w:ascii="Arial Narrow" w:hAnsi="Arial Narrow"/>
                <w:sz w:val="22"/>
                <w:szCs w:val="22"/>
              </w:rPr>
              <w:t>e Abbildung im G-DRG System 2026</w:t>
            </w:r>
            <w:r w:rsidRPr="003151FB">
              <w:rPr>
                <w:rFonts w:ascii="Arial Narrow" w:hAnsi="Arial Narrow"/>
                <w:sz w:val="22"/>
                <w:szCs w:val="22"/>
              </w:rPr>
              <w:t xml:space="preserve"> zu ermöglichen.</w:t>
            </w:r>
          </w:p>
          <w:p w14:paraId="4A01FB14"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Die zusätzlichen Kosten von bis zu 61.500 € pro Aufenthalt können aber mit der/den o.g. Fallpauschale(n) allein</w:t>
            </w:r>
          </w:p>
          <w:p w14:paraId="490A034F"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 xml:space="preserve">nicht ausreichend abgebildet werden und </w:t>
            </w:r>
            <w:proofErr w:type="spellStart"/>
            <w:r w:rsidRPr="003151FB">
              <w:rPr>
                <w:rFonts w:ascii="Arial Narrow" w:hAnsi="Arial Narrow"/>
                <w:sz w:val="22"/>
                <w:szCs w:val="22"/>
              </w:rPr>
              <w:t>Caplacizumab</w:t>
            </w:r>
            <w:proofErr w:type="spellEnd"/>
            <w:r w:rsidRPr="003151FB">
              <w:rPr>
                <w:rFonts w:ascii="Arial Narrow" w:hAnsi="Arial Narrow"/>
                <w:sz w:val="22"/>
                <w:szCs w:val="22"/>
              </w:rPr>
              <w:t xml:space="preserve"> ist bisher im ZE-Katalog nicht enthalten.</w:t>
            </w:r>
          </w:p>
          <w:p w14:paraId="202DCDC2" w14:textId="77777777" w:rsidR="003151FB" w:rsidRPr="003151FB" w:rsidRDefault="003151FB" w:rsidP="003151FB">
            <w:pPr>
              <w:spacing w:after="0"/>
              <w:rPr>
                <w:rFonts w:ascii="Arial Narrow" w:hAnsi="Arial Narrow"/>
                <w:sz w:val="22"/>
                <w:szCs w:val="22"/>
              </w:rPr>
            </w:pPr>
            <w:r w:rsidRPr="003151FB">
              <w:rPr>
                <w:rFonts w:ascii="Arial Narrow" w:hAnsi="Arial Narrow"/>
                <w:sz w:val="22"/>
                <w:szCs w:val="22"/>
              </w:rPr>
              <w:t>Aufgrund der hohen Kosten des Medikaments kommt es zu einer Unterfinanzierung in der/den betroffenen DRG.</w:t>
            </w:r>
          </w:p>
          <w:p w14:paraId="183B6013" w14:textId="5BC1EB60" w:rsidR="003151FB" w:rsidRPr="003151FB" w:rsidRDefault="003151FB" w:rsidP="003151FB">
            <w:pPr>
              <w:spacing w:after="0"/>
              <w:rPr>
                <w:rFonts w:ascii="Arial Narrow" w:hAnsi="Arial Narrow"/>
                <w:sz w:val="22"/>
                <w:szCs w:val="22"/>
              </w:rPr>
            </w:pPr>
            <w:r w:rsidRPr="003151FB">
              <w:rPr>
                <w:rFonts w:ascii="Arial Narrow" w:hAnsi="Arial Narrow"/>
                <w:sz w:val="22"/>
                <w:szCs w:val="22"/>
              </w:rPr>
              <w:t xml:space="preserve">Bisherige </w:t>
            </w:r>
            <w:proofErr w:type="spellStart"/>
            <w:r w:rsidRPr="003151FB">
              <w:rPr>
                <w:rFonts w:ascii="Arial Narrow" w:hAnsi="Arial Narrow"/>
                <w:sz w:val="22"/>
                <w:szCs w:val="22"/>
              </w:rPr>
              <w:t>aTTP</w:t>
            </w:r>
            <w:proofErr w:type="spellEnd"/>
            <w:r w:rsidRPr="003151FB">
              <w:rPr>
                <w:rFonts w:ascii="Arial Narrow" w:hAnsi="Arial Narrow"/>
                <w:sz w:val="22"/>
                <w:szCs w:val="22"/>
              </w:rPr>
              <w:t xml:space="preserve">-Behandlungsverfahren wie z.B. der Plasmaaustausch (ZE36) oder auch die </w:t>
            </w:r>
            <w:proofErr w:type="spellStart"/>
            <w:r w:rsidRPr="003151FB">
              <w:rPr>
                <w:rFonts w:ascii="Arial Narrow" w:hAnsi="Arial Narrow"/>
                <w:sz w:val="22"/>
                <w:szCs w:val="22"/>
              </w:rPr>
              <w:t>Rituximab</w:t>
            </w:r>
            <w:proofErr w:type="spellEnd"/>
            <w:r w:rsidRPr="003151FB">
              <w:rPr>
                <w:rFonts w:ascii="Arial Narrow" w:hAnsi="Arial Narrow"/>
                <w:sz w:val="22"/>
                <w:szCs w:val="22"/>
              </w:rPr>
              <w:t>– Behandlung (ZE202</w:t>
            </w:r>
            <w:r w:rsidR="009E6C3A">
              <w:rPr>
                <w:rFonts w:ascii="Arial Narrow" w:hAnsi="Arial Narrow"/>
                <w:sz w:val="22"/>
                <w:szCs w:val="22"/>
              </w:rPr>
              <w:t>5</w:t>
            </w:r>
            <w:r w:rsidRPr="003151FB">
              <w:rPr>
                <w:rFonts w:ascii="Arial Narrow" w:hAnsi="Arial Narrow"/>
                <w:sz w:val="22"/>
                <w:szCs w:val="22"/>
              </w:rPr>
              <w:t>-103 bzw. ZE202</w:t>
            </w:r>
            <w:r w:rsidR="009E6C3A">
              <w:rPr>
                <w:rFonts w:ascii="Arial Narrow" w:hAnsi="Arial Narrow"/>
                <w:sz w:val="22"/>
                <w:szCs w:val="22"/>
              </w:rPr>
              <w:t>5</w:t>
            </w:r>
            <w:r w:rsidRPr="003151FB">
              <w:rPr>
                <w:rFonts w:ascii="Arial Narrow" w:hAnsi="Arial Narrow"/>
                <w:sz w:val="22"/>
                <w:szCs w:val="22"/>
              </w:rPr>
              <w:t>-151), werden bereits heute durch spezifische Zusatzentgelte erstattet.</w:t>
            </w:r>
          </w:p>
        </w:tc>
      </w:tr>
    </w:tbl>
    <w:p w14:paraId="20A510D5" w14:textId="77777777" w:rsidR="003151FB" w:rsidRDefault="003151FB"/>
    <w:sectPr w:rsidR="003151FB">
      <w:headerReference w:type="default" r:id="rId6"/>
      <w:foot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31634" w14:textId="77777777" w:rsidR="00142E25" w:rsidRDefault="00142E25" w:rsidP="006A7E7F">
      <w:pPr>
        <w:spacing w:after="0" w:line="240" w:lineRule="auto"/>
      </w:pPr>
      <w:r>
        <w:separator/>
      </w:r>
    </w:p>
  </w:endnote>
  <w:endnote w:type="continuationSeparator" w:id="0">
    <w:p w14:paraId="5B7ED6DA" w14:textId="77777777" w:rsidR="00142E25" w:rsidRDefault="00142E25" w:rsidP="006A7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Times New Roman"/>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Times New Roman">
    <w:altName w:val="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5E1E6" w14:textId="134662C2" w:rsidR="006E77D7" w:rsidRPr="00DF7263" w:rsidRDefault="006E77D7" w:rsidP="006E77D7">
    <w:pPr>
      <w:pStyle w:val="Fuzeile"/>
      <w:rPr>
        <w:rFonts w:ascii="Arial Narrow" w:hAnsi="Arial Narrow"/>
        <w:sz w:val="22"/>
        <w:szCs w:val="22"/>
      </w:rPr>
    </w:pPr>
    <w:r w:rsidRPr="00DF7263">
      <w:rPr>
        <w:rFonts w:ascii="Arial Narrow" w:hAnsi="Arial Narrow"/>
        <w:sz w:val="22"/>
        <w:szCs w:val="22"/>
      </w:rPr>
      <w:t xml:space="preserve">NUB-Musteranfrage </w:t>
    </w:r>
    <w:proofErr w:type="spellStart"/>
    <w:r w:rsidRPr="00DF7263">
      <w:rPr>
        <w:rFonts w:ascii="Arial Narrow" w:hAnsi="Arial Narrow"/>
        <w:sz w:val="22"/>
        <w:szCs w:val="22"/>
      </w:rPr>
      <w:t>Caplacizumab</w:t>
    </w:r>
    <w:proofErr w:type="spellEnd"/>
  </w:p>
  <w:p w14:paraId="6C77F06C" w14:textId="77777777" w:rsidR="006E77D7" w:rsidRPr="00DF7263" w:rsidRDefault="000964CF" w:rsidP="006E77D7">
    <w:pPr>
      <w:pStyle w:val="Fuzeile"/>
      <w:rPr>
        <w:rFonts w:ascii="Arial Narrow" w:hAnsi="Arial Narrow"/>
        <w:sz w:val="22"/>
        <w:szCs w:val="22"/>
      </w:rPr>
    </w:pPr>
    <w:hyperlink r:id="rId1" w:history="1">
      <w:r w:rsidR="006E77D7" w:rsidRPr="00DF7263">
        <w:rPr>
          <w:rStyle w:val="Hyperlink"/>
          <w:rFonts w:ascii="Arial Narrow" w:hAnsi="Arial Narrow"/>
          <w:sz w:val="22"/>
          <w:szCs w:val="22"/>
        </w:rPr>
        <w:t>Arbeitskreis DRG und Gesundheitsökonomie der Deutschen Gesellschaft für Hämatologie und medizinische Onkologie e.V.</w:t>
      </w:r>
    </w:hyperlink>
    <w:r w:rsidR="006E77D7" w:rsidRPr="00DF7263">
      <w:rPr>
        <w:rFonts w:ascii="Arial Narrow" w:hAnsi="Arial Narrow"/>
        <w:sz w:val="22"/>
        <w:szCs w:val="22"/>
      </w:rPr>
      <w:t xml:space="preserve"> </w:t>
    </w:r>
  </w:p>
  <w:p w14:paraId="504F3E18" w14:textId="77777777" w:rsidR="006E77D7" w:rsidRPr="00DF7263" w:rsidRDefault="000964CF" w:rsidP="006E77D7">
    <w:pPr>
      <w:pStyle w:val="Fuzeile"/>
      <w:rPr>
        <w:rFonts w:ascii="Arial Narrow" w:hAnsi="Arial Narrow"/>
        <w:sz w:val="22"/>
        <w:szCs w:val="22"/>
      </w:rPr>
    </w:pPr>
    <w:hyperlink r:id="rId2" w:history="1">
      <w:r w:rsidR="006E77D7" w:rsidRPr="00DF7263">
        <w:rPr>
          <w:rStyle w:val="Hyperlink"/>
          <w:rFonts w:ascii="Arial Narrow" w:hAnsi="Arial Narrow"/>
          <w:sz w:val="22"/>
          <w:szCs w:val="22"/>
        </w:rPr>
        <w:t>www.dgho.de</w:t>
      </w:r>
    </w:hyperlink>
  </w:p>
  <w:p w14:paraId="0B0DF710" w14:textId="1EDA352A" w:rsidR="006E77D7" w:rsidRPr="00DF7263" w:rsidRDefault="006E77D7" w:rsidP="006E77D7">
    <w:pPr>
      <w:pStyle w:val="Fuzeile"/>
      <w:rPr>
        <w:rFonts w:ascii="Arial Narrow" w:hAnsi="Arial Narrow"/>
        <w:sz w:val="22"/>
        <w:szCs w:val="22"/>
      </w:rPr>
    </w:pPr>
    <w:r w:rsidRPr="00DF7263">
      <w:rPr>
        <w:rFonts w:ascii="Arial Narrow" w:hAnsi="Arial Narrow"/>
        <w:sz w:val="22"/>
        <w:szCs w:val="22"/>
      </w:rPr>
      <w:t xml:space="preserve">Seite </w:t>
    </w:r>
    <w:r w:rsidRPr="00DF7263">
      <w:rPr>
        <w:rFonts w:ascii="Arial Narrow" w:hAnsi="Arial Narrow"/>
        <w:sz w:val="22"/>
        <w:szCs w:val="22"/>
      </w:rPr>
      <w:fldChar w:fldCharType="begin"/>
    </w:r>
    <w:r w:rsidRPr="00DF7263">
      <w:rPr>
        <w:rFonts w:ascii="Arial Narrow" w:hAnsi="Arial Narrow"/>
        <w:sz w:val="22"/>
        <w:szCs w:val="22"/>
      </w:rPr>
      <w:instrText xml:space="preserve"> PAGE </w:instrText>
    </w:r>
    <w:r w:rsidRPr="00DF7263">
      <w:rPr>
        <w:rFonts w:ascii="Arial Narrow" w:hAnsi="Arial Narrow"/>
        <w:sz w:val="22"/>
        <w:szCs w:val="22"/>
      </w:rPr>
      <w:fldChar w:fldCharType="separate"/>
    </w:r>
    <w:r w:rsidR="000964CF">
      <w:rPr>
        <w:rFonts w:ascii="Arial Narrow" w:hAnsi="Arial Narrow"/>
        <w:noProof/>
        <w:sz w:val="22"/>
        <w:szCs w:val="22"/>
      </w:rPr>
      <w:t>4</w:t>
    </w:r>
    <w:r w:rsidRPr="00DF7263">
      <w:rPr>
        <w:rFonts w:ascii="Arial Narrow" w:hAnsi="Arial Narrow"/>
        <w:sz w:val="22"/>
        <w:szCs w:val="22"/>
      </w:rPr>
      <w:fldChar w:fldCharType="end"/>
    </w:r>
    <w:r w:rsidRPr="00DF7263">
      <w:rPr>
        <w:rFonts w:ascii="Arial Narrow" w:hAnsi="Arial Narrow"/>
        <w:sz w:val="22"/>
        <w:szCs w:val="22"/>
      </w:rPr>
      <w:t xml:space="preserve"> von 4</w:t>
    </w:r>
  </w:p>
  <w:p w14:paraId="31CBDA35" w14:textId="7B3D2D02" w:rsidR="006E77D7" w:rsidRPr="00FE5A81" w:rsidRDefault="006E77D7" w:rsidP="006E77D7">
    <w:pPr>
      <w:pStyle w:val="Fuzeile"/>
      <w:rPr>
        <w:rFonts w:ascii="Arial Narrow" w:hAnsi="Arial Narrow"/>
        <w:sz w:val="22"/>
        <w:szCs w:val="22"/>
        <w:lang w:val="en-US"/>
      </w:rPr>
    </w:pPr>
    <w:r w:rsidRPr="00FE5A81">
      <w:rPr>
        <w:rFonts w:ascii="Arial Narrow" w:hAnsi="Arial Narrow"/>
        <w:sz w:val="22"/>
        <w:szCs w:val="22"/>
        <w:lang w:val="en-US"/>
      </w:rPr>
      <w:t>25-02</w:t>
    </w:r>
    <w:r w:rsidR="009E6C3A">
      <w:rPr>
        <w:rFonts w:ascii="Arial Narrow" w:hAnsi="Arial Narrow"/>
        <w:sz w:val="22"/>
        <w:szCs w:val="22"/>
        <w:lang w:val="en-US"/>
      </w:rPr>
      <w:t>5</w:t>
    </w:r>
    <w:r w:rsidRPr="00FE5A81">
      <w:rPr>
        <w:rFonts w:ascii="Arial Narrow" w:hAnsi="Arial Narrow"/>
        <w:sz w:val="22"/>
        <w:szCs w:val="22"/>
        <w:lang w:val="en-US"/>
      </w:rPr>
      <w:t xml:space="preserve"> </w:t>
    </w:r>
    <w:proofErr w:type="spellStart"/>
    <w:r w:rsidRPr="00FE5A81">
      <w:rPr>
        <w:rFonts w:ascii="Arial Narrow" w:hAnsi="Arial Narrow"/>
        <w:sz w:val="22"/>
        <w:szCs w:val="22"/>
        <w:lang w:val="en-US"/>
      </w:rPr>
      <w:t>Caplacizumab</w:t>
    </w:r>
    <w:proofErr w:type="spellEnd"/>
    <w:r w:rsidRPr="00FE5A81">
      <w:rPr>
        <w:rFonts w:ascii="Arial Narrow" w:hAnsi="Arial Narrow"/>
        <w:sz w:val="22"/>
        <w:szCs w:val="22"/>
        <w:lang w:val="en-US"/>
      </w:rPr>
      <w:t xml:space="preserve"> NUB-</w:t>
    </w:r>
    <w:proofErr w:type="spellStart"/>
    <w:r w:rsidRPr="00FE5A81">
      <w:rPr>
        <w:rFonts w:ascii="Arial Narrow" w:hAnsi="Arial Narrow"/>
        <w:sz w:val="22"/>
        <w:szCs w:val="22"/>
        <w:lang w:val="en-US"/>
      </w:rPr>
      <w:t>Anfrage</w:t>
    </w:r>
    <w:proofErr w:type="spellEnd"/>
    <w:r w:rsidRPr="00FE5A81">
      <w:rPr>
        <w:rFonts w:ascii="Arial Narrow" w:hAnsi="Arial Narrow"/>
        <w:sz w:val="22"/>
        <w:szCs w:val="22"/>
        <w:lang w:val="en-US"/>
      </w:rPr>
      <w:t>-</w:t>
    </w:r>
    <w:proofErr w:type="spellStart"/>
    <w:r w:rsidRPr="00FE5A81">
      <w:rPr>
        <w:rFonts w:ascii="Arial Narrow" w:hAnsi="Arial Narrow"/>
        <w:sz w:val="22"/>
        <w:szCs w:val="22"/>
        <w:lang w:val="en-US"/>
      </w:rPr>
      <w:t>DGHO_Stand</w:t>
    </w:r>
    <w:proofErr w:type="spellEnd"/>
    <w:r w:rsidRPr="00FE5A81">
      <w:rPr>
        <w:rFonts w:ascii="Arial Narrow" w:hAnsi="Arial Narrow"/>
        <w:sz w:val="22"/>
        <w:szCs w:val="22"/>
        <w:lang w:val="en-US"/>
      </w:rPr>
      <w:t xml:space="preserve"> 202</w:t>
    </w:r>
    <w:r w:rsidR="009E6C3A">
      <w:rPr>
        <w:rFonts w:ascii="Arial Narrow" w:hAnsi="Arial Narrow"/>
        <w:sz w:val="22"/>
        <w:szCs w:val="22"/>
        <w:lang w:val="en-US"/>
      </w:rPr>
      <w:t>5</w:t>
    </w:r>
    <w:r w:rsidRPr="00FE5A81">
      <w:rPr>
        <w:rFonts w:ascii="Arial Narrow" w:hAnsi="Arial Narrow"/>
        <w:sz w:val="22"/>
        <w:szCs w:val="22"/>
        <w:lang w:val="en-US"/>
      </w:rPr>
      <w:t>-09-0</w:t>
    </w:r>
    <w:r w:rsidR="009E6C3A">
      <w:rPr>
        <w:rFonts w:ascii="Arial Narrow" w:hAnsi="Arial Narrow"/>
        <w:sz w:val="22"/>
        <w:szCs w:val="22"/>
        <w:lang w:val="en-US"/>
      </w:rPr>
      <w:t>3</w:t>
    </w:r>
    <w:r w:rsidRPr="00FE5A81">
      <w:rPr>
        <w:rFonts w:ascii="Arial Narrow" w:hAnsi="Arial Narrow"/>
        <w:sz w:val="22"/>
        <w:szCs w:val="22"/>
        <w:lang w:val="en-US"/>
      </w:rPr>
      <w:t xml:space="preserve"> final</w:t>
    </w:r>
  </w:p>
  <w:p w14:paraId="4B6A3E8C" w14:textId="74E2CBD4" w:rsidR="005B35E5" w:rsidRPr="00DF7263" w:rsidRDefault="005B35E5" w:rsidP="003151FB">
    <w:pPr>
      <w:pStyle w:val="Fuzeile"/>
      <w:rPr>
        <w:rFonts w:ascii="Arial Narrow" w:hAnsi="Arial Narrow"/>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F4866" w14:textId="77777777" w:rsidR="00142E25" w:rsidRDefault="00142E25" w:rsidP="006A7E7F">
      <w:pPr>
        <w:spacing w:after="0" w:line="240" w:lineRule="auto"/>
      </w:pPr>
      <w:r>
        <w:separator/>
      </w:r>
    </w:p>
  </w:footnote>
  <w:footnote w:type="continuationSeparator" w:id="0">
    <w:p w14:paraId="5577DA46" w14:textId="77777777" w:rsidR="00142E25" w:rsidRDefault="00142E25" w:rsidP="006A7E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28DDC1" w14:textId="0B0B9DC4" w:rsidR="006A7E7F" w:rsidRPr="006A7E7F" w:rsidRDefault="006A7E7F" w:rsidP="006A7E7F">
    <w:pPr>
      <w:pStyle w:val="Kopfzeile"/>
      <w:rPr>
        <w:rFonts w:ascii="Lucida Sans Unicode" w:hAnsi="Lucida Sans Unicode" w:cs="Lucida Sans Unicode"/>
        <w:sz w:val="48"/>
        <w:szCs w:val="48"/>
      </w:rPr>
    </w:pPr>
    <w:r w:rsidRPr="006A7E7F">
      <w:rPr>
        <w:rFonts w:ascii="Lucida Sans Unicode" w:hAnsi="Lucida Sans Unicode" w:cs="Lucida Sans Unicode"/>
        <w:sz w:val="48"/>
        <w:szCs w:val="48"/>
      </w:rPr>
      <w:t>NUB Antrag 202</w:t>
    </w:r>
    <w:r w:rsidR="00FE5A81">
      <w:rPr>
        <w:rFonts w:ascii="Lucida Sans Unicode" w:hAnsi="Lucida Sans Unicode" w:cs="Lucida Sans Unicode"/>
        <w:sz w:val="48"/>
        <w:szCs w:val="48"/>
      </w:rPr>
      <w:t>5</w:t>
    </w:r>
    <w:r w:rsidRPr="006A7E7F">
      <w:rPr>
        <w:rFonts w:ascii="Lucida Sans Unicode" w:hAnsi="Lucida Sans Unicode" w:cs="Lucida Sans Unicode"/>
        <w:sz w:val="48"/>
        <w:szCs w:val="48"/>
      </w:rPr>
      <w:t>/202</w:t>
    </w:r>
    <w:r w:rsidR="00FE5A81">
      <w:rPr>
        <w:rFonts w:ascii="Lucida Sans Unicode" w:hAnsi="Lucida Sans Unicode" w:cs="Lucida Sans Unicode"/>
        <w:sz w:val="48"/>
        <w:szCs w:val="48"/>
      </w:rPr>
      <w:t>6</w:t>
    </w:r>
  </w:p>
  <w:p w14:paraId="52D01C37" w14:textId="77777777" w:rsidR="006A7E7F" w:rsidRPr="006A7E7F" w:rsidRDefault="006A7E7F" w:rsidP="006A7E7F">
    <w:pPr>
      <w:pStyle w:val="Kopfzeile"/>
      <w:rPr>
        <w:rFonts w:ascii="Lucida Sans Unicode" w:hAnsi="Lucida Sans Unicode" w:cs="Lucida Sans Unicode"/>
        <w:sz w:val="48"/>
        <w:szCs w:val="48"/>
      </w:rPr>
    </w:pPr>
    <w:proofErr w:type="spellStart"/>
    <w:r w:rsidRPr="006A7E7F">
      <w:rPr>
        <w:rFonts w:ascii="Lucida Sans Unicode" w:hAnsi="Lucida Sans Unicode" w:cs="Lucida Sans Unicode"/>
        <w:sz w:val="48"/>
        <w:szCs w:val="48"/>
      </w:rPr>
      <w:t>Caplacizumab</w:t>
    </w:r>
    <w:proofErr w:type="spellEnd"/>
  </w:p>
  <w:p w14:paraId="1A26884B" w14:textId="1AC09848" w:rsidR="006A7E7F" w:rsidRDefault="006A7E7F">
    <w:pPr>
      <w:pStyle w:val="Kopfzeile"/>
    </w:pPr>
    <w:r>
      <w:rPr>
        <w:noProof/>
        <w:lang w:eastAsia="de-DE"/>
      </w:rPr>
      <mc:AlternateContent>
        <mc:Choice Requires="wps">
          <w:drawing>
            <wp:anchor distT="0" distB="0" distL="114300" distR="114300" simplePos="0" relativeHeight="251659264" behindDoc="0" locked="0" layoutInCell="1" allowOverlap="1" wp14:anchorId="699EB2EF" wp14:editId="71A63DC7">
              <wp:simplePos x="0" y="0"/>
              <wp:positionH relativeFrom="column">
                <wp:posOffset>24129</wp:posOffset>
              </wp:positionH>
              <wp:positionV relativeFrom="paragraph">
                <wp:posOffset>61594</wp:posOffset>
              </wp:positionV>
              <wp:extent cx="5934075" cy="0"/>
              <wp:effectExtent l="0" t="0" r="0" b="0"/>
              <wp:wrapNone/>
              <wp:docPr id="660775914" name="Gerader Verbinder 1"/>
              <wp:cNvGraphicFramePr/>
              <a:graphic xmlns:a="http://schemas.openxmlformats.org/drawingml/2006/main">
                <a:graphicData uri="http://schemas.microsoft.com/office/word/2010/wordprocessingShape">
                  <wps:wsp>
                    <wps:cNvCnPr/>
                    <wps:spPr>
                      <a:xfrm flipV="1">
                        <a:off x="0" y="0"/>
                        <a:ext cx="5934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03B01E16" id="Gerader Verbinde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pt,4.85pt" to="469.1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" strokecolor="#156082 [3204]" strokeweight=".5pt">
              <v:stroke joinstyle="miter"/>
            </v:line>
          </w:pict>
        </mc:Fallback>
      </mc:AlternateContent>
    </w:r>
  </w:p>
  <w:p w14:paraId="730EEA98" w14:textId="77777777" w:rsidR="006A7E7F" w:rsidRDefault="006A7E7F">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E7F"/>
    <w:rsid w:val="000964CF"/>
    <w:rsid w:val="00142E25"/>
    <w:rsid w:val="00254FED"/>
    <w:rsid w:val="002E1708"/>
    <w:rsid w:val="003151FB"/>
    <w:rsid w:val="003743A6"/>
    <w:rsid w:val="00432955"/>
    <w:rsid w:val="005B35E5"/>
    <w:rsid w:val="006A7E7F"/>
    <w:rsid w:val="006E77D7"/>
    <w:rsid w:val="00926DED"/>
    <w:rsid w:val="00940E73"/>
    <w:rsid w:val="00986C9D"/>
    <w:rsid w:val="009E524A"/>
    <w:rsid w:val="009E6C3A"/>
    <w:rsid w:val="009F4595"/>
    <w:rsid w:val="00B204B2"/>
    <w:rsid w:val="00DF7263"/>
    <w:rsid w:val="00E715D1"/>
    <w:rsid w:val="00E76233"/>
    <w:rsid w:val="00FE5A8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315C14"/>
  <w15:chartTrackingRefBased/>
  <w15:docId w15:val="{6902DF2D-E48C-4915-A219-963E15E8E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rsid w:val="006A7E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A7E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A7E7F"/>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A7E7F"/>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A7E7F"/>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A7E7F"/>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A7E7F"/>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A7E7F"/>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A7E7F"/>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A7E7F"/>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A7E7F"/>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A7E7F"/>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A7E7F"/>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A7E7F"/>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A7E7F"/>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A7E7F"/>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A7E7F"/>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A7E7F"/>
    <w:rPr>
      <w:rFonts w:eastAsiaTheme="majorEastAsia" w:cstheme="majorBidi"/>
      <w:color w:val="272727" w:themeColor="text1" w:themeTint="D8"/>
    </w:rPr>
  </w:style>
  <w:style w:type="paragraph" w:styleId="Titel">
    <w:name w:val="Title"/>
    <w:basedOn w:val="Standard"/>
    <w:next w:val="Standard"/>
    <w:link w:val="TitelZchn"/>
    <w:uiPriority w:val="10"/>
    <w:qFormat/>
    <w:rsid w:val="006A7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A7E7F"/>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A7E7F"/>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A7E7F"/>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A7E7F"/>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A7E7F"/>
    <w:rPr>
      <w:i/>
      <w:iCs/>
      <w:color w:val="404040" w:themeColor="text1" w:themeTint="BF"/>
    </w:rPr>
  </w:style>
  <w:style w:type="paragraph" w:styleId="Listenabsatz">
    <w:name w:val="List Paragraph"/>
    <w:basedOn w:val="Standard"/>
    <w:uiPriority w:val="34"/>
    <w:qFormat/>
    <w:rsid w:val="006A7E7F"/>
    <w:pPr>
      <w:ind w:left="720"/>
      <w:contextualSpacing/>
    </w:pPr>
  </w:style>
  <w:style w:type="character" w:styleId="IntensiveHervorhebung">
    <w:name w:val="Intense Emphasis"/>
    <w:basedOn w:val="Absatz-Standardschriftart"/>
    <w:uiPriority w:val="21"/>
    <w:qFormat/>
    <w:rsid w:val="006A7E7F"/>
    <w:rPr>
      <w:i/>
      <w:iCs/>
      <w:color w:val="0F4761" w:themeColor="accent1" w:themeShade="BF"/>
    </w:rPr>
  </w:style>
  <w:style w:type="paragraph" w:styleId="IntensivesZitat">
    <w:name w:val="Intense Quote"/>
    <w:basedOn w:val="Standard"/>
    <w:next w:val="Standard"/>
    <w:link w:val="IntensivesZitatZchn"/>
    <w:uiPriority w:val="30"/>
    <w:qFormat/>
    <w:rsid w:val="006A7E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A7E7F"/>
    <w:rPr>
      <w:i/>
      <w:iCs/>
      <w:color w:val="0F4761" w:themeColor="accent1" w:themeShade="BF"/>
    </w:rPr>
  </w:style>
  <w:style w:type="character" w:styleId="IntensiverVerweis">
    <w:name w:val="Intense Reference"/>
    <w:basedOn w:val="Absatz-Standardschriftart"/>
    <w:uiPriority w:val="32"/>
    <w:qFormat/>
    <w:rsid w:val="006A7E7F"/>
    <w:rPr>
      <w:b/>
      <w:bCs/>
      <w:smallCaps/>
      <w:color w:val="0F4761" w:themeColor="accent1" w:themeShade="BF"/>
      <w:spacing w:val="5"/>
    </w:rPr>
  </w:style>
  <w:style w:type="paragraph" w:styleId="Kopfzeile">
    <w:name w:val="header"/>
    <w:basedOn w:val="Standard"/>
    <w:link w:val="KopfzeileZchn"/>
    <w:uiPriority w:val="99"/>
    <w:unhideWhenUsed/>
    <w:rsid w:val="006A7E7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A7E7F"/>
  </w:style>
  <w:style w:type="paragraph" w:styleId="Fuzeile">
    <w:name w:val="footer"/>
    <w:basedOn w:val="Standard"/>
    <w:link w:val="FuzeileZchn"/>
    <w:uiPriority w:val="99"/>
    <w:unhideWhenUsed/>
    <w:rsid w:val="006A7E7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A7E7F"/>
  </w:style>
  <w:style w:type="paragraph" w:styleId="Textkrper">
    <w:name w:val="Body Text"/>
    <w:basedOn w:val="Standard"/>
    <w:link w:val="TextkrperZchn"/>
    <w:uiPriority w:val="99"/>
    <w:semiHidden/>
    <w:unhideWhenUsed/>
    <w:rsid w:val="006A7E7F"/>
    <w:pPr>
      <w:spacing w:after="120"/>
    </w:pPr>
  </w:style>
  <w:style w:type="character" w:customStyle="1" w:styleId="TextkrperZchn">
    <w:name w:val="Textkörper Zchn"/>
    <w:basedOn w:val="Absatz-Standardschriftart"/>
    <w:link w:val="Textkrper"/>
    <w:uiPriority w:val="99"/>
    <w:semiHidden/>
    <w:rsid w:val="006A7E7F"/>
  </w:style>
  <w:style w:type="character" w:styleId="Hyperlink">
    <w:name w:val="Hyperlink"/>
    <w:basedOn w:val="Absatz-Standardschriftart"/>
    <w:uiPriority w:val="99"/>
    <w:unhideWhenUsed/>
    <w:rsid w:val="006A7E7F"/>
    <w:rPr>
      <w:color w:val="467886" w:themeColor="hyperlink"/>
      <w:u w:val="single"/>
    </w:rPr>
  </w:style>
  <w:style w:type="character" w:customStyle="1" w:styleId="NichtaufgelsteErwhnung1">
    <w:name w:val="Nicht aufgelöste Erwähnung1"/>
    <w:basedOn w:val="Absatz-Standardschriftart"/>
    <w:uiPriority w:val="99"/>
    <w:semiHidden/>
    <w:unhideWhenUsed/>
    <w:rsid w:val="006A7E7F"/>
    <w:rPr>
      <w:color w:val="605E5C"/>
      <w:shd w:val="clear" w:color="auto" w:fill="E1DFDD"/>
    </w:rPr>
  </w:style>
  <w:style w:type="paragraph" w:styleId="berarbeitung">
    <w:name w:val="Revision"/>
    <w:hidden/>
    <w:uiPriority w:val="99"/>
    <w:semiHidden/>
    <w:rsid w:val="00254FED"/>
    <w:pPr>
      <w:spacing w:after="0" w:line="240" w:lineRule="auto"/>
    </w:pPr>
  </w:style>
  <w:style w:type="paragraph" w:styleId="Sprechblasentext">
    <w:name w:val="Balloon Text"/>
    <w:basedOn w:val="Standard"/>
    <w:link w:val="SprechblasentextZchn"/>
    <w:uiPriority w:val="99"/>
    <w:semiHidden/>
    <w:unhideWhenUsed/>
    <w:rsid w:val="006E77D7"/>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77D7"/>
    <w:rPr>
      <w:rFonts w:ascii="Segoe UI" w:hAnsi="Segoe UI" w:cs="Segoe UI"/>
      <w:sz w:val="18"/>
      <w:szCs w:val="18"/>
    </w:rPr>
  </w:style>
  <w:style w:type="paragraph" w:customStyle="1" w:styleId="Default">
    <w:name w:val="Default"/>
    <w:rsid w:val="009E6C3A"/>
    <w:pPr>
      <w:autoSpaceDE w:val="0"/>
      <w:autoSpaceDN w:val="0"/>
      <w:adjustRightInd w:val="0"/>
      <w:spacing w:after="0" w:line="240" w:lineRule="auto"/>
    </w:pPr>
    <w:rPr>
      <w:rFonts w:ascii="Arial Narrow" w:hAnsi="Arial Narrow" w:cs="Arial Narrow"/>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6278">
      <w:bodyDiv w:val="1"/>
      <w:marLeft w:val="0"/>
      <w:marRight w:val="0"/>
      <w:marTop w:val="0"/>
      <w:marBottom w:val="0"/>
      <w:divBdr>
        <w:top w:val="none" w:sz="0" w:space="0" w:color="auto"/>
        <w:left w:val="none" w:sz="0" w:space="0" w:color="auto"/>
        <w:bottom w:val="none" w:sz="0" w:space="0" w:color="auto"/>
        <w:right w:val="none" w:sz="0" w:space="0" w:color="auto"/>
      </w:divBdr>
    </w:div>
    <w:div w:id="255796187">
      <w:bodyDiv w:val="1"/>
      <w:marLeft w:val="0"/>
      <w:marRight w:val="0"/>
      <w:marTop w:val="0"/>
      <w:marBottom w:val="0"/>
      <w:divBdr>
        <w:top w:val="none" w:sz="0" w:space="0" w:color="auto"/>
        <w:left w:val="none" w:sz="0" w:space="0" w:color="auto"/>
        <w:bottom w:val="none" w:sz="0" w:space="0" w:color="auto"/>
        <w:right w:val="none" w:sz="0" w:space="0" w:color="auto"/>
      </w:divBdr>
    </w:div>
    <w:div w:id="313728217">
      <w:bodyDiv w:val="1"/>
      <w:marLeft w:val="0"/>
      <w:marRight w:val="0"/>
      <w:marTop w:val="0"/>
      <w:marBottom w:val="0"/>
      <w:divBdr>
        <w:top w:val="none" w:sz="0" w:space="0" w:color="auto"/>
        <w:left w:val="none" w:sz="0" w:space="0" w:color="auto"/>
        <w:bottom w:val="none" w:sz="0" w:space="0" w:color="auto"/>
        <w:right w:val="none" w:sz="0" w:space="0" w:color="auto"/>
      </w:divBdr>
    </w:div>
    <w:div w:id="314339212">
      <w:bodyDiv w:val="1"/>
      <w:marLeft w:val="0"/>
      <w:marRight w:val="0"/>
      <w:marTop w:val="0"/>
      <w:marBottom w:val="0"/>
      <w:divBdr>
        <w:top w:val="none" w:sz="0" w:space="0" w:color="auto"/>
        <w:left w:val="none" w:sz="0" w:space="0" w:color="auto"/>
        <w:bottom w:val="none" w:sz="0" w:space="0" w:color="auto"/>
        <w:right w:val="none" w:sz="0" w:space="0" w:color="auto"/>
      </w:divBdr>
    </w:div>
    <w:div w:id="367222283">
      <w:bodyDiv w:val="1"/>
      <w:marLeft w:val="0"/>
      <w:marRight w:val="0"/>
      <w:marTop w:val="0"/>
      <w:marBottom w:val="0"/>
      <w:divBdr>
        <w:top w:val="none" w:sz="0" w:space="0" w:color="auto"/>
        <w:left w:val="none" w:sz="0" w:space="0" w:color="auto"/>
        <w:bottom w:val="none" w:sz="0" w:space="0" w:color="auto"/>
        <w:right w:val="none" w:sz="0" w:space="0" w:color="auto"/>
      </w:divBdr>
    </w:div>
    <w:div w:id="446583213">
      <w:bodyDiv w:val="1"/>
      <w:marLeft w:val="0"/>
      <w:marRight w:val="0"/>
      <w:marTop w:val="0"/>
      <w:marBottom w:val="0"/>
      <w:divBdr>
        <w:top w:val="none" w:sz="0" w:space="0" w:color="auto"/>
        <w:left w:val="none" w:sz="0" w:space="0" w:color="auto"/>
        <w:bottom w:val="none" w:sz="0" w:space="0" w:color="auto"/>
        <w:right w:val="none" w:sz="0" w:space="0" w:color="auto"/>
      </w:divBdr>
    </w:div>
    <w:div w:id="482502210">
      <w:bodyDiv w:val="1"/>
      <w:marLeft w:val="0"/>
      <w:marRight w:val="0"/>
      <w:marTop w:val="0"/>
      <w:marBottom w:val="0"/>
      <w:divBdr>
        <w:top w:val="none" w:sz="0" w:space="0" w:color="auto"/>
        <w:left w:val="none" w:sz="0" w:space="0" w:color="auto"/>
        <w:bottom w:val="none" w:sz="0" w:space="0" w:color="auto"/>
        <w:right w:val="none" w:sz="0" w:space="0" w:color="auto"/>
      </w:divBdr>
    </w:div>
    <w:div w:id="613025135">
      <w:bodyDiv w:val="1"/>
      <w:marLeft w:val="0"/>
      <w:marRight w:val="0"/>
      <w:marTop w:val="0"/>
      <w:marBottom w:val="0"/>
      <w:divBdr>
        <w:top w:val="none" w:sz="0" w:space="0" w:color="auto"/>
        <w:left w:val="none" w:sz="0" w:space="0" w:color="auto"/>
        <w:bottom w:val="none" w:sz="0" w:space="0" w:color="auto"/>
        <w:right w:val="none" w:sz="0" w:space="0" w:color="auto"/>
      </w:divBdr>
    </w:div>
    <w:div w:id="723796632">
      <w:bodyDiv w:val="1"/>
      <w:marLeft w:val="0"/>
      <w:marRight w:val="0"/>
      <w:marTop w:val="0"/>
      <w:marBottom w:val="0"/>
      <w:divBdr>
        <w:top w:val="none" w:sz="0" w:space="0" w:color="auto"/>
        <w:left w:val="none" w:sz="0" w:space="0" w:color="auto"/>
        <w:bottom w:val="none" w:sz="0" w:space="0" w:color="auto"/>
        <w:right w:val="none" w:sz="0" w:space="0" w:color="auto"/>
      </w:divBdr>
    </w:div>
    <w:div w:id="860124999">
      <w:bodyDiv w:val="1"/>
      <w:marLeft w:val="0"/>
      <w:marRight w:val="0"/>
      <w:marTop w:val="0"/>
      <w:marBottom w:val="0"/>
      <w:divBdr>
        <w:top w:val="none" w:sz="0" w:space="0" w:color="auto"/>
        <w:left w:val="none" w:sz="0" w:space="0" w:color="auto"/>
        <w:bottom w:val="none" w:sz="0" w:space="0" w:color="auto"/>
        <w:right w:val="none" w:sz="0" w:space="0" w:color="auto"/>
      </w:divBdr>
    </w:div>
    <w:div w:id="995645260">
      <w:bodyDiv w:val="1"/>
      <w:marLeft w:val="0"/>
      <w:marRight w:val="0"/>
      <w:marTop w:val="0"/>
      <w:marBottom w:val="0"/>
      <w:divBdr>
        <w:top w:val="none" w:sz="0" w:space="0" w:color="auto"/>
        <w:left w:val="none" w:sz="0" w:space="0" w:color="auto"/>
        <w:bottom w:val="none" w:sz="0" w:space="0" w:color="auto"/>
        <w:right w:val="none" w:sz="0" w:space="0" w:color="auto"/>
      </w:divBdr>
    </w:div>
    <w:div w:id="1015614405">
      <w:bodyDiv w:val="1"/>
      <w:marLeft w:val="0"/>
      <w:marRight w:val="0"/>
      <w:marTop w:val="0"/>
      <w:marBottom w:val="0"/>
      <w:divBdr>
        <w:top w:val="none" w:sz="0" w:space="0" w:color="auto"/>
        <w:left w:val="none" w:sz="0" w:space="0" w:color="auto"/>
        <w:bottom w:val="none" w:sz="0" w:space="0" w:color="auto"/>
        <w:right w:val="none" w:sz="0" w:space="0" w:color="auto"/>
      </w:divBdr>
    </w:div>
    <w:div w:id="1032731917">
      <w:bodyDiv w:val="1"/>
      <w:marLeft w:val="0"/>
      <w:marRight w:val="0"/>
      <w:marTop w:val="0"/>
      <w:marBottom w:val="0"/>
      <w:divBdr>
        <w:top w:val="none" w:sz="0" w:space="0" w:color="auto"/>
        <w:left w:val="none" w:sz="0" w:space="0" w:color="auto"/>
        <w:bottom w:val="none" w:sz="0" w:space="0" w:color="auto"/>
        <w:right w:val="none" w:sz="0" w:space="0" w:color="auto"/>
      </w:divBdr>
    </w:div>
    <w:div w:id="1216506912">
      <w:bodyDiv w:val="1"/>
      <w:marLeft w:val="0"/>
      <w:marRight w:val="0"/>
      <w:marTop w:val="0"/>
      <w:marBottom w:val="0"/>
      <w:divBdr>
        <w:top w:val="none" w:sz="0" w:space="0" w:color="auto"/>
        <w:left w:val="none" w:sz="0" w:space="0" w:color="auto"/>
        <w:bottom w:val="none" w:sz="0" w:space="0" w:color="auto"/>
        <w:right w:val="none" w:sz="0" w:space="0" w:color="auto"/>
      </w:divBdr>
    </w:div>
    <w:div w:id="1272669971">
      <w:bodyDiv w:val="1"/>
      <w:marLeft w:val="0"/>
      <w:marRight w:val="0"/>
      <w:marTop w:val="0"/>
      <w:marBottom w:val="0"/>
      <w:divBdr>
        <w:top w:val="none" w:sz="0" w:space="0" w:color="auto"/>
        <w:left w:val="none" w:sz="0" w:space="0" w:color="auto"/>
        <w:bottom w:val="none" w:sz="0" w:space="0" w:color="auto"/>
        <w:right w:val="none" w:sz="0" w:space="0" w:color="auto"/>
      </w:divBdr>
    </w:div>
    <w:div w:id="1321811968">
      <w:bodyDiv w:val="1"/>
      <w:marLeft w:val="0"/>
      <w:marRight w:val="0"/>
      <w:marTop w:val="0"/>
      <w:marBottom w:val="0"/>
      <w:divBdr>
        <w:top w:val="none" w:sz="0" w:space="0" w:color="auto"/>
        <w:left w:val="none" w:sz="0" w:space="0" w:color="auto"/>
        <w:bottom w:val="none" w:sz="0" w:space="0" w:color="auto"/>
        <w:right w:val="none" w:sz="0" w:space="0" w:color="auto"/>
      </w:divBdr>
    </w:div>
    <w:div w:id="1366172059">
      <w:bodyDiv w:val="1"/>
      <w:marLeft w:val="0"/>
      <w:marRight w:val="0"/>
      <w:marTop w:val="0"/>
      <w:marBottom w:val="0"/>
      <w:divBdr>
        <w:top w:val="none" w:sz="0" w:space="0" w:color="auto"/>
        <w:left w:val="none" w:sz="0" w:space="0" w:color="auto"/>
        <w:bottom w:val="none" w:sz="0" w:space="0" w:color="auto"/>
        <w:right w:val="none" w:sz="0" w:space="0" w:color="auto"/>
      </w:divBdr>
    </w:div>
    <w:div w:id="1462962791">
      <w:bodyDiv w:val="1"/>
      <w:marLeft w:val="0"/>
      <w:marRight w:val="0"/>
      <w:marTop w:val="0"/>
      <w:marBottom w:val="0"/>
      <w:divBdr>
        <w:top w:val="none" w:sz="0" w:space="0" w:color="auto"/>
        <w:left w:val="none" w:sz="0" w:space="0" w:color="auto"/>
        <w:bottom w:val="none" w:sz="0" w:space="0" w:color="auto"/>
        <w:right w:val="none" w:sz="0" w:space="0" w:color="auto"/>
      </w:divBdr>
    </w:div>
    <w:div w:id="1514956453">
      <w:bodyDiv w:val="1"/>
      <w:marLeft w:val="0"/>
      <w:marRight w:val="0"/>
      <w:marTop w:val="0"/>
      <w:marBottom w:val="0"/>
      <w:divBdr>
        <w:top w:val="none" w:sz="0" w:space="0" w:color="auto"/>
        <w:left w:val="none" w:sz="0" w:space="0" w:color="auto"/>
        <w:bottom w:val="none" w:sz="0" w:space="0" w:color="auto"/>
        <w:right w:val="none" w:sz="0" w:space="0" w:color="auto"/>
      </w:divBdr>
    </w:div>
    <w:div w:id="1543058884">
      <w:bodyDiv w:val="1"/>
      <w:marLeft w:val="0"/>
      <w:marRight w:val="0"/>
      <w:marTop w:val="0"/>
      <w:marBottom w:val="0"/>
      <w:divBdr>
        <w:top w:val="none" w:sz="0" w:space="0" w:color="auto"/>
        <w:left w:val="none" w:sz="0" w:space="0" w:color="auto"/>
        <w:bottom w:val="none" w:sz="0" w:space="0" w:color="auto"/>
        <w:right w:val="none" w:sz="0" w:space="0" w:color="auto"/>
      </w:divBdr>
    </w:div>
    <w:div w:id="1656110175">
      <w:bodyDiv w:val="1"/>
      <w:marLeft w:val="0"/>
      <w:marRight w:val="0"/>
      <w:marTop w:val="0"/>
      <w:marBottom w:val="0"/>
      <w:divBdr>
        <w:top w:val="none" w:sz="0" w:space="0" w:color="auto"/>
        <w:left w:val="none" w:sz="0" w:space="0" w:color="auto"/>
        <w:bottom w:val="none" w:sz="0" w:space="0" w:color="auto"/>
        <w:right w:val="none" w:sz="0" w:space="0" w:color="auto"/>
      </w:divBdr>
    </w:div>
    <w:div w:id="1826968261">
      <w:bodyDiv w:val="1"/>
      <w:marLeft w:val="0"/>
      <w:marRight w:val="0"/>
      <w:marTop w:val="0"/>
      <w:marBottom w:val="0"/>
      <w:divBdr>
        <w:top w:val="none" w:sz="0" w:space="0" w:color="auto"/>
        <w:left w:val="none" w:sz="0" w:space="0" w:color="auto"/>
        <w:bottom w:val="none" w:sz="0" w:space="0" w:color="auto"/>
        <w:right w:val="none" w:sz="0" w:space="0" w:color="auto"/>
      </w:divBdr>
    </w:div>
    <w:div w:id="1895266804">
      <w:bodyDiv w:val="1"/>
      <w:marLeft w:val="0"/>
      <w:marRight w:val="0"/>
      <w:marTop w:val="0"/>
      <w:marBottom w:val="0"/>
      <w:divBdr>
        <w:top w:val="none" w:sz="0" w:space="0" w:color="auto"/>
        <w:left w:val="none" w:sz="0" w:space="0" w:color="auto"/>
        <w:bottom w:val="none" w:sz="0" w:space="0" w:color="auto"/>
        <w:right w:val="none" w:sz="0" w:space="0" w:color="auto"/>
      </w:divBdr>
    </w:div>
    <w:div w:id="1926566877">
      <w:bodyDiv w:val="1"/>
      <w:marLeft w:val="0"/>
      <w:marRight w:val="0"/>
      <w:marTop w:val="0"/>
      <w:marBottom w:val="0"/>
      <w:divBdr>
        <w:top w:val="none" w:sz="0" w:space="0" w:color="auto"/>
        <w:left w:val="none" w:sz="0" w:space="0" w:color="auto"/>
        <w:bottom w:val="none" w:sz="0" w:space="0" w:color="auto"/>
        <w:right w:val="none" w:sz="0" w:space="0" w:color="auto"/>
      </w:divBdr>
    </w:div>
    <w:div w:id="1980529492">
      <w:bodyDiv w:val="1"/>
      <w:marLeft w:val="0"/>
      <w:marRight w:val="0"/>
      <w:marTop w:val="0"/>
      <w:marBottom w:val="0"/>
      <w:divBdr>
        <w:top w:val="none" w:sz="0" w:space="0" w:color="auto"/>
        <w:left w:val="none" w:sz="0" w:space="0" w:color="auto"/>
        <w:bottom w:val="none" w:sz="0" w:space="0" w:color="auto"/>
        <w:right w:val="none" w:sz="0" w:space="0" w:color="auto"/>
      </w:divBdr>
    </w:div>
    <w:div w:id="2100131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gho.de" TargetMode="External"/><Relationship Id="rId1" Type="http://schemas.openxmlformats.org/officeDocument/2006/relationships/hyperlink" Target="http://www.dgho.de/_cmsdata/_cache/cms_19.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AE9A3BC0FDD6468809D600103F45DC" ma:contentTypeVersion="18" ma:contentTypeDescription="Ein neues Dokument erstellen." ma:contentTypeScope="" ma:versionID="a8ceee5021ec60157ed8cfb3ebd1da00">
  <xsd:schema xmlns:xsd="http://www.w3.org/2001/XMLSchema" xmlns:xs="http://www.w3.org/2001/XMLSchema" xmlns:p="http://schemas.microsoft.com/office/2006/metadata/properties" xmlns:ns2="58550545-d003-4198-b867-ab879e6c9fb4" xmlns:ns3="68ba53c9-060a-46d7-984d-6df78a3a4203" targetNamespace="http://schemas.microsoft.com/office/2006/metadata/properties" ma:root="true" ma:fieldsID="daa98171ff53e2ba5141d75d7d12b4e0" ns2:_="" ns3:_="">
    <xsd:import namespace="58550545-d003-4198-b867-ab879e6c9fb4"/>
    <xsd:import namespace="68ba53c9-060a-46d7-984d-6df78a3a420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50545-d003-4198-b867-ab879e6c9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0e5f548-56ee-4e65-a752-e1a6909ea2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ba53c9-060a-46d7-984d-6df78a3a4203"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76f6a1ee-5f8f-424b-ad6a-196271723ecd}" ma:internalName="TaxCatchAll" ma:showField="CatchAllData" ma:web="68ba53c9-060a-46d7-984d-6df78a3a42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8550545-d003-4198-b867-ab879e6c9fb4">
      <Terms xmlns="http://schemas.microsoft.com/office/infopath/2007/PartnerControls"/>
    </lcf76f155ced4ddcb4097134ff3c332f>
    <TaxCatchAll xmlns="68ba53c9-060a-46d7-984d-6df78a3a4203" xsi:nil="true"/>
  </documentManagement>
</p:properties>
</file>

<file path=customXml/itemProps1.xml><?xml version="1.0" encoding="utf-8"?>
<ds:datastoreItem xmlns:ds="http://schemas.openxmlformats.org/officeDocument/2006/customXml" ds:itemID="{B4CE979C-E2CE-4EB2-8664-D0AE48A1A67E}"/>
</file>

<file path=customXml/itemProps2.xml><?xml version="1.0" encoding="utf-8"?>
<ds:datastoreItem xmlns:ds="http://schemas.openxmlformats.org/officeDocument/2006/customXml" ds:itemID="{3C1EE4F2-EB19-4B60-9419-0A9A5E2DDF1B}"/>
</file>

<file path=customXml/itemProps3.xml><?xml version="1.0" encoding="utf-8"?>
<ds:datastoreItem xmlns:ds="http://schemas.openxmlformats.org/officeDocument/2006/customXml" ds:itemID="{EAC841E2-E934-4D2F-8B61-5951C92C6944}"/>
</file>

<file path=docProps/app.xml><?xml version="1.0" encoding="utf-8"?>
<Properties xmlns="http://schemas.openxmlformats.org/officeDocument/2006/extended-properties" xmlns:vt="http://schemas.openxmlformats.org/officeDocument/2006/docPropsVTypes">
  <Template>Normal.dotm</Template>
  <TotalTime>0</TotalTime>
  <Pages>4</Pages>
  <Words>942</Words>
  <Characters>5941</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Quadflieg, Manuela</dc:creator>
  <cp:keywords/>
  <dc:description/>
  <cp:lastModifiedBy>Kontny, Udo</cp:lastModifiedBy>
  <cp:revision>3</cp:revision>
  <dcterms:created xsi:type="dcterms:W3CDTF">2025-10-11T12:53:00Z</dcterms:created>
  <dcterms:modified xsi:type="dcterms:W3CDTF">2025-10-11T15:24:00Z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0x01010045AE9A3BC0FDD6468809D600103F45DC</vt:lpwstr>
  </property>
</Properties>
</file>