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201FD" w14:textId="77777777" w:rsidR="00501D32" w:rsidRPr="00733DC6" w:rsidRDefault="00501D32">
      <w:pPr>
        <w:rPr>
          <w:b/>
        </w:rPr>
      </w:pPr>
      <w:r w:rsidRPr="00733DC6">
        <w:rPr>
          <w:b/>
        </w:rPr>
        <w:t xml:space="preserve">Neue Untersuchungs- und Behandlungsmethoden gemäß §6 Absatz 2 </w:t>
      </w:r>
      <w:proofErr w:type="spellStart"/>
      <w:r w:rsidRPr="00733DC6">
        <w:rPr>
          <w:b/>
        </w:rPr>
        <w:t>KHEntgG</w:t>
      </w:r>
      <w:proofErr w:type="spellEnd"/>
    </w:p>
    <w:p w14:paraId="76E3282A" w14:textId="77777777" w:rsidR="00F42BA8" w:rsidRPr="00733DC6" w:rsidRDefault="00F42BA8" w:rsidP="00F42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7"/>
      </w:tblGrid>
      <w:tr w:rsidR="00F42BA8" w:rsidRPr="007A046B" w14:paraId="31D1F6E0" w14:textId="77777777">
        <w:tc>
          <w:tcPr>
            <w:tcW w:w="9347" w:type="dxa"/>
          </w:tcPr>
          <w:p w14:paraId="0388CA9F" w14:textId="77777777"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Haben Sie externe Hilfestellungen in Anspruch genommen? Wenn ja, bitte geben Sie an, welche Hilfestellung Sie in Anspruch genommen haben?</w:t>
            </w:r>
          </w:p>
        </w:tc>
      </w:tr>
      <w:tr w:rsidR="00F42BA8" w:rsidRPr="007A046B" w14:paraId="0868FEDF" w14:textId="77777777">
        <w:tc>
          <w:tcPr>
            <w:tcW w:w="9347" w:type="dxa"/>
          </w:tcPr>
          <w:p w14:paraId="5EF8C34B" w14:textId="6EFD26A7" w:rsidR="00F42BA8" w:rsidRPr="00733DC6" w:rsidRDefault="00733DC6" w:rsidP="009E442D">
            <w:r w:rsidRPr="00733DC6">
              <w:t xml:space="preserve">Dieser Antrag wurde durch die Gesellschaft für Pädiatrische Onkologie und Hämatologie e.V. </w:t>
            </w:r>
            <w:r w:rsidR="00776B20">
              <w:t>vor</w:t>
            </w:r>
            <w:r w:rsidRPr="00733DC6">
              <w:t>formuliert.</w:t>
            </w:r>
            <w:bookmarkStart w:id="0" w:name="_GoBack"/>
            <w:bookmarkEnd w:id="0"/>
            <w:r w:rsidR="00E40FC1" w:rsidRPr="00733DC6">
              <w:t xml:space="preserve">. </w:t>
            </w:r>
          </w:p>
        </w:tc>
      </w:tr>
    </w:tbl>
    <w:p w14:paraId="3F0676B2" w14:textId="77777777" w:rsidR="00F42BA8" w:rsidRPr="00733DC6" w:rsidRDefault="00F42BA8" w:rsidP="002202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 w14:paraId="21233F74" w14:textId="77777777">
        <w:tc>
          <w:tcPr>
            <w:tcW w:w="9333" w:type="dxa"/>
          </w:tcPr>
          <w:p w14:paraId="760461A7" w14:textId="77777777"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1.1 Angefragte Untersuchungs- und Behandlungsmethode (Kurzbezeichnung)</w:t>
            </w:r>
          </w:p>
        </w:tc>
      </w:tr>
      <w:tr w:rsidR="00F42BA8" w:rsidRPr="007A046B" w14:paraId="77C71269" w14:textId="77777777">
        <w:tc>
          <w:tcPr>
            <w:tcW w:w="9333" w:type="dxa"/>
          </w:tcPr>
          <w:p w14:paraId="6045FB50" w14:textId="77777777" w:rsidR="00F42BA8" w:rsidRPr="00733DC6" w:rsidRDefault="00F42BA8" w:rsidP="002202B2">
            <w:proofErr w:type="spellStart"/>
            <w:r w:rsidRPr="00733DC6">
              <w:t>Arsentrioxid</w:t>
            </w:r>
            <w:proofErr w:type="spellEnd"/>
            <w:r w:rsidRPr="00733DC6">
              <w:t xml:space="preserve"> zur Behandlung der APL</w:t>
            </w:r>
          </w:p>
        </w:tc>
      </w:tr>
    </w:tbl>
    <w:p w14:paraId="2B1A4AFE" w14:textId="77777777" w:rsidR="00F42BA8" w:rsidRPr="00733DC6" w:rsidRDefault="00F42BA8" w:rsidP="002202B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 w14:paraId="01DD02D9" w14:textId="77777777">
        <w:tc>
          <w:tcPr>
            <w:tcW w:w="9333" w:type="dxa"/>
          </w:tcPr>
          <w:p w14:paraId="2ABBCE10" w14:textId="77777777" w:rsidR="00F42BA8" w:rsidRPr="007A046B" w:rsidRDefault="00F42BA8" w:rsidP="002202B2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 xml:space="preserve">1.2 </w:t>
            </w:r>
            <w:r w:rsidRPr="007A046B">
              <w:rPr>
                <w:b/>
              </w:rPr>
              <w:t>Alternative Bezeichnung(en) der Methode</w:t>
            </w:r>
          </w:p>
        </w:tc>
      </w:tr>
      <w:tr w:rsidR="00F42BA8" w:rsidRPr="007A046B" w14:paraId="50F60571" w14:textId="77777777">
        <w:tc>
          <w:tcPr>
            <w:tcW w:w="9333" w:type="dxa"/>
          </w:tcPr>
          <w:p w14:paraId="16C2F9CE" w14:textId="77777777" w:rsidR="00F42BA8" w:rsidRPr="00733DC6" w:rsidRDefault="00A25C02" w:rsidP="002202B2">
            <w:r w:rsidRPr="00733DC6">
              <w:t xml:space="preserve">ATO, </w:t>
            </w:r>
            <w:proofErr w:type="spellStart"/>
            <w:r w:rsidRPr="00733DC6">
              <w:t>Trisenox</w:t>
            </w:r>
            <w:proofErr w:type="spellEnd"/>
            <w:r w:rsidRPr="007A046B">
              <w:rPr>
                <w:vertAlign w:val="superscript"/>
              </w:rPr>
              <w:t>®</w:t>
            </w:r>
          </w:p>
        </w:tc>
      </w:tr>
    </w:tbl>
    <w:p w14:paraId="093B93F9" w14:textId="77777777" w:rsidR="00F42BA8" w:rsidRDefault="00F42BA8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E1046" w:rsidRPr="00EE1046" w14:paraId="539F0787" w14:textId="77777777" w:rsidTr="007D5A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BB7" w14:textId="77777777" w:rsidR="00EE1046" w:rsidRPr="00EE1046" w:rsidRDefault="00EE1046" w:rsidP="00EE1046">
            <w:pPr>
              <w:rPr>
                <w:b/>
              </w:rPr>
            </w:pPr>
            <w:r w:rsidRPr="00EE1046">
              <w:rPr>
                <w:b/>
              </w:rPr>
              <w:t>1.3 Beruht die neue Untersuchungs- und Behandlungsmethode vollständig oder in Teilen auf dem Einsatz eines Medizinproduktes?</w:t>
            </w:r>
            <w:r w:rsidRPr="00EE1046">
              <w:rPr>
                <w:b/>
              </w:rPr>
              <w:tab/>
            </w:r>
          </w:p>
        </w:tc>
      </w:tr>
      <w:tr w:rsidR="00EE1046" w:rsidRPr="00EE1046" w14:paraId="27C537B1" w14:textId="77777777" w:rsidTr="007D5A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9D0A" w14:textId="77777777" w:rsidR="00EE1046" w:rsidRPr="00EE1046" w:rsidRDefault="00EE1046" w:rsidP="00EE1046">
            <w:r w:rsidRPr="00EE1046">
              <w:t>Hier nein ankreuzen</w:t>
            </w:r>
          </w:p>
        </w:tc>
      </w:tr>
    </w:tbl>
    <w:p w14:paraId="53F63779" w14:textId="77777777" w:rsidR="00EE1046" w:rsidRDefault="00EE1046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E1046" w:rsidRPr="00EE1046" w14:paraId="4C7ACC2F" w14:textId="77777777" w:rsidTr="007D5AD5">
        <w:tc>
          <w:tcPr>
            <w:tcW w:w="9212" w:type="dxa"/>
          </w:tcPr>
          <w:p w14:paraId="27BB0350" w14:textId="06E0CBDC" w:rsidR="00EE1046" w:rsidRPr="00EE1046" w:rsidRDefault="00EE1046" w:rsidP="005B3F2A">
            <w:pPr>
              <w:rPr>
                <w:b/>
              </w:rPr>
            </w:pPr>
            <w:r w:rsidRPr="00EE1046">
              <w:rPr>
                <w:b/>
              </w:rPr>
              <w:t>1.4 Wurde für diese angefragte Untersuchungs- und Behandlungsmethode von Ihrem Krankenhaus bereits vor dem 01.01.</w:t>
            </w:r>
            <w:r w:rsidR="005B3F2A" w:rsidRPr="00EE1046">
              <w:rPr>
                <w:b/>
              </w:rPr>
              <w:t>20</w:t>
            </w:r>
            <w:r w:rsidR="005B3F2A">
              <w:rPr>
                <w:b/>
              </w:rPr>
              <w:t>2</w:t>
            </w:r>
            <w:r w:rsidR="00634D9D">
              <w:rPr>
                <w:b/>
              </w:rPr>
              <w:t>2</w:t>
            </w:r>
            <w:r w:rsidR="005B3F2A" w:rsidRPr="00EE1046">
              <w:rPr>
                <w:b/>
              </w:rPr>
              <w:t xml:space="preserve"> </w:t>
            </w:r>
            <w:r w:rsidRPr="00EE1046">
              <w:rPr>
                <w:b/>
              </w:rPr>
              <w:t xml:space="preserve">eine Anfrage gemäß §6 Abs. 2 </w:t>
            </w:r>
            <w:proofErr w:type="spellStart"/>
            <w:r w:rsidRPr="00EE1046">
              <w:rPr>
                <w:b/>
              </w:rPr>
              <w:t>KHEntG</w:t>
            </w:r>
            <w:proofErr w:type="spellEnd"/>
            <w:r w:rsidRPr="00EE1046">
              <w:rPr>
                <w:b/>
              </w:rPr>
              <w:t xml:space="preserve"> an das </w:t>
            </w:r>
            <w:proofErr w:type="spellStart"/>
            <w:r w:rsidRPr="00EE1046">
              <w:rPr>
                <w:b/>
              </w:rPr>
              <w:t>InEK</w:t>
            </w:r>
            <w:proofErr w:type="spellEnd"/>
            <w:r w:rsidRPr="00EE1046">
              <w:rPr>
                <w:b/>
              </w:rPr>
              <w:t xml:space="preserve"> übermittelt </w:t>
            </w:r>
            <w:r w:rsidRPr="00EE1046">
              <w:rPr>
                <w:b/>
              </w:rPr>
              <w:tab/>
            </w:r>
          </w:p>
        </w:tc>
      </w:tr>
      <w:tr w:rsidR="00EE1046" w:rsidRPr="00EE1046" w14:paraId="4E8FBF72" w14:textId="77777777" w:rsidTr="007D5AD5">
        <w:tc>
          <w:tcPr>
            <w:tcW w:w="9212" w:type="dxa"/>
          </w:tcPr>
          <w:p w14:paraId="1DF802CA" w14:textId="77777777" w:rsidR="00EE1046" w:rsidRPr="00EE1046" w:rsidRDefault="00EE1046" w:rsidP="00EE1046">
            <w:r w:rsidRPr="00EE1046">
              <w:rPr>
                <w:highlight w:val="yellow"/>
              </w:rPr>
              <w:t>Ja/nein</w:t>
            </w:r>
          </w:p>
        </w:tc>
      </w:tr>
    </w:tbl>
    <w:p w14:paraId="7BB05DDD" w14:textId="77777777" w:rsidR="00EE1046" w:rsidRDefault="00EE1046" w:rsidP="002202B2"/>
    <w:p w14:paraId="380DE53E" w14:textId="77777777" w:rsidR="00EE1046" w:rsidRPr="00733DC6" w:rsidRDefault="00EE1046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7A046B" w14:paraId="57AC0E2B" w14:textId="77777777">
        <w:tc>
          <w:tcPr>
            <w:tcW w:w="9333" w:type="dxa"/>
          </w:tcPr>
          <w:p w14:paraId="08203C0A" w14:textId="77777777" w:rsidR="00F42BA8" w:rsidRPr="007A046B" w:rsidRDefault="00F42BA8" w:rsidP="00EE1046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</w:t>
            </w:r>
            <w:r w:rsidR="00EE1046">
              <w:rPr>
                <w:b/>
                <w:bCs/>
              </w:rPr>
              <w:t>5</w:t>
            </w:r>
            <w:r w:rsidRPr="007A046B">
              <w:rPr>
                <w:b/>
                <w:bCs/>
              </w:rPr>
              <w:t xml:space="preserve"> Beschreibung der neuen Methode</w:t>
            </w:r>
          </w:p>
        </w:tc>
      </w:tr>
      <w:tr w:rsidR="00F42BA8" w:rsidRPr="007A046B" w14:paraId="053D7440" w14:textId="77777777">
        <w:tc>
          <w:tcPr>
            <w:tcW w:w="9333" w:type="dxa"/>
          </w:tcPr>
          <w:p w14:paraId="7EA86CD9" w14:textId="00ACABBD" w:rsidR="00795587" w:rsidRDefault="00A0498C" w:rsidP="000E596A">
            <w:pPr>
              <w:jc w:val="both"/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ist zur Induktion einer Remission und Konsolidierung </w:t>
            </w:r>
            <w:r w:rsidRPr="00ED5A0E">
              <w:t xml:space="preserve">bei erwachsenen Patienten </w:t>
            </w:r>
            <w:r w:rsidR="001F465E" w:rsidRPr="00ED5A0E">
              <w:t xml:space="preserve">und Kindern </w:t>
            </w:r>
            <w:r w:rsidRPr="00ED5A0E">
              <w:t xml:space="preserve">mit </w:t>
            </w:r>
            <w:r w:rsidR="001F465E" w:rsidRPr="00ED5A0E">
              <w:t xml:space="preserve">neudiagnostizierter oder </w:t>
            </w:r>
            <w:r w:rsidRPr="00ED5A0E">
              <w:t>rezidivierender</w:t>
            </w:r>
            <w:r w:rsidR="0029737A" w:rsidRPr="00ED5A0E">
              <w:t>/refraktärer</w:t>
            </w:r>
            <w:r w:rsidRPr="00ED5A0E">
              <w:t xml:space="preserve"> akuter </w:t>
            </w:r>
            <w:proofErr w:type="spellStart"/>
            <w:r w:rsidRPr="00ED5A0E">
              <w:t>Promyelozytenleukämie</w:t>
            </w:r>
            <w:proofErr w:type="spellEnd"/>
            <w:r w:rsidRPr="00ED5A0E">
              <w:t xml:space="preserve"> (APL), einer Unterform der akuten </w:t>
            </w:r>
            <w:proofErr w:type="spellStart"/>
            <w:r w:rsidRPr="00ED5A0E">
              <w:t>myeloischen</w:t>
            </w:r>
            <w:proofErr w:type="spellEnd"/>
            <w:r w:rsidRPr="00733DC6">
              <w:t xml:space="preserve"> Leukämie bestimmt. Der Wirkmechanismus von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ist nicht vollständig geklärt.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induziert in vitro morphologische Veränderungen und eine Fragmentierung der Desoxyribonukleinsäure (DNS), wie sie für die Apoptose von NB4-Zellen der menschlichen </w:t>
            </w:r>
            <w:proofErr w:type="spellStart"/>
            <w:r w:rsidRPr="00733DC6">
              <w:t>Promyelozytenleukämie</w:t>
            </w:r>
            <w:proofErr w:type="spellEnd"/>
            <w:r w:rsidRPr="00733DC6">
              <w:t xml:space="preserve"> charakteristisch sind.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verursacht darüber hinaus eine Schädigung bzw. den Abbau des Fusionsproteins PML/</w:t>
            </w:r>
            <w:proofErr w:type="spellStart"/>
            <w:r w:rsidRPr="00733DC6">
              <w:t>RARalpha</w:t>
            </w:r>
            <w:proofErr w:type="spellEnd"/>
            <w:r w:rsidRPr="00733DC6">
              <w:t>, das ebenfalls für diese Art der Leukämie typisch ist.</w:t>
            </w:r>
            <w:r w:rsidR="00B74A88">
              <w:t xml:space="preserve"> </w:t>
            </w:r>
            <w:r w:rsidR="00D673F2">
              <w:t>Auch b</w:t>
            </w:r>
            <w:r w:rsidRPr="00733DC6">
              <w:t xml:space="preserve">ei APL-Rezidiv ist die Therapie mit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heutzutage </w:t>
            </w:r>
            <w:r w:rsidR="00593B24" w:rsidRPr="00733DC6">
              <w:t>Therapie der Wahl</w:t>
            </w:r>
            <w:r w:rsidRPr="00733DC6">
              <w:t xml:space="preserve">. </w:t>
            </w:r>
          </w:p>
          <w:p w14:paraId="1E64A9E2" w14:textId="7128DF7C" w:rsidR="00F42BA8" w:rsidRDefault="00A0498C" w:rsidP="000E596A">
            <w:pPr>
              <w:jc w:val="both"/>
            </w:pPr>
            <w:r w:rsidRPr="00733DC6">
              <w:t>Eine Therapie einer APL unterteilt sich in eine Induktions- sowie eine Konsolidierungsphase nach Erreichen einer kompletten Remission.</w:t>
            </w:r>
            <w:r w:rsidR="00B74A88">
              <w:t xml:space="preserve"> </w:t>
            </w:r>
            <w:r w:rsidRPr="00733DC6">
              <w:t xml:space="preserve">Induktionstherapie (APL):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ist täglich intravenös mit einer gleich bleibenden Dosierung von 0,15 mg/kg/Tag zu geben</w:t>
            </w:r>
            <w:r w:rsidR="000E596A">
              <w:t>.</w:t>
            </w:r>
            <w:r w:rsidRPr="00733DC6">
              <w:t xml:space="preserve"> </w:t>
            </w:r>
            <w:r w:rsidR="00795587">
              <w:t xml:space="preserve">Der initiale Zyklus der </w:t>
            </w:r>
            <w:r w:rsidR="000E596A">
              <w:t>ATO-Therapie sollte</w:t>
            </w:r>
            <w:r w:rsidR="00795587">
              <w:t xml:space="preserve"> </w:t>
            </w:r>
            <w:r w:rsidR="000E596A">
              <w:t xml:space="preserve">mindestens bis zum Tag 42 (und jedenfalls bis zur </w:t>
            </w:r>
            <w:proofErr w:type="spellStart"/>
            <w:r w:rsidR="000E596A">
              <w:t>Blastenfreiheit</w:t>
            </w:r>
            <w:proofErr w:type="spellEnd"/>
            <w:r w:rsidR="000E596A">
              <w:t xml:space="preserve"> im Blut) erfolgen</w:t>
            </w:r>
            <w:r w:rsidR="000E596A" w:rsidRPr="00733DC6" w:rsidDel="000E596A">
              <w:t xml:space="preserve"> </w:t>
            </w:r>
            <w:r w:rsidRPr="00733DC6">
              <w:t xml:space="preserve">(bis der </w:t>
            </w:r>
            <w:proofErr w:type="spellStart"/>
            <w:r w:rsidRPr="00733DC6">
              <w:t>Blastenanteil</w:t>
            </w:r>
            <w:proofErr w:type="spellEnd"/>
            <w:r w:rsidRPr="00733DC6">
              <w:t xml:space="preserve"> weniger als 5% der Knochenmarkzellen ausmacht und keine leukämischen Zellen mehr nachweisbar sind).</w:t>
            </w:r>
            <w:r w:rsidR="00B74A88">
              <w:t xml:space="preserve"> </w:t>
            </w:r>
            <w:r w:rsidR="00795587">
              <w:t xml:space="preserve">Nach 2-wöchiger Pause folgen dann 4 zusätzliche Zyklen mit ATO (jeweils 4 Wochen und 4 Wochen Pause).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wird auch </w:t>
            </w:r>
            <w:r w:rsidR="002B243B" w:rsidRPr="00733DC6">
              <w:t>in</w:t>
            </w:r>
            <w:r w:rsidRPr="00733DC6">
              <w:t xml:space="preserve"> der Konsolidierungstherapie intravenös mit einer Dosierung von 0,15 mg/kg/Tag gegeben. Die Therapie erfolgt </w:t>
            </w:r>
            <w:r w:rsidR="00795587">
              <w:t xml:space="preserve">dann jedoch </w:t>
            </w:r>
            <w:r w:rsidRPr="00733DC6">
              <w:t xml:space="preserve">täglich an fünf Tagen pro Woche, gefolgt von zwei Tagen Pause, </w:t>
            </w:r>
            <w:r w:rsidR="00216949">
              <w:t>z.T.</w:t>
            </w:r>
            <w:r w:rsidRPr="00733DC6">
              <w:t xml:space="preserve"> in Kombination mit weiteren Medikamenten.</w:t>
            </w:r>
          </w:p>
          <w:p w14:paraId="16D6100E" w14:textId="77777777" w:rsidR="00216949" w:rsidRDefault="00216949" w:rsidP="00216949"/>
          <w:p w14:paraId="2D32B178" w14:textId="77777777" w:rsidR="00216949" w:rsidRPr="00557B36" w:rsidRDefault="00216949" w:rsidP="0021694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57B36">
              <w:rPr>
                <w:rFonts w:ascii="Times New Roman" w:hAnsi="Times New Roman" w:cs="Times New Roman"/>
                <w:b/>
              </w:rPr>
              <w:t>Lit</w:t>
            </w:r>
            <w:r w:rsidRPr="00557B36">
              <w:rPr>
                <w:rFonts w:ascii="Times New Roman" w:hAnsi="Times New Roman" w:cs="Times New Roman"/>
                <w:b/>
                <w:szCs w:val="20"/>
              </w:rPr>
              <w:t>eratur:</w:t>
            </w:r>
          </w:p>
          <w:p w14:paraId="218AA04F" w14:textId="77777777" w:rsidR="00216949" w:rsidRPr="00557B36" w:rsidRDefault="00216949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557B36">
              <w:rPr>
                <w:rFonts w:ascii="Times New Roman" w:hAnsi="Times New Roman" w:cs="Times New Roman"/>
                <w:sz w:val="22"/>
                <w:lang w:val="es-ES"/>
              </w:rPr>
              <w:t xml:space="preserve">Lo-Coco F, Hasan SK, Montesinos P, Sanz MA.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Biology and management of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therapy-related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leukemia.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Curr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Opin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Oncol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. 2013</w:t>
            </w:r>
            <w:r w:rsidR="00B56676" w:rsidRPr="00557B36">
              <w:rPr>
                <w:rFonts w:ascii="Times New Roman" w:hAnsi="Times New Roman" w:cs="Times New Roman"/>
                <w:sz w:val="22"/>
                <w:lang w:val="en-US"/>
              </w:rPr>
              <w:t>; 25(6): 695-700</w:t>
            </w:r>
          </w:p>
          <w:p w14:paraId="5E34CA8B" w14:textId="77777777" w:rsidR="00216949" w:rsidRPr="00557B36" w:rsidRDefault="00216949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lastRenderedPageBreak/>
              <w:t>Chen L, Wang J, Hu X, Xu X. Meta-analysis of all-trans retinoic acid-linked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arsenic trioxide treatment for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leukemia. Hematology. 201</w:t>
            </w:r>
            <w:r w:rsidR="00B56676" w:rsidRPr="00557B36">
              <w:rPr>
                <w:rFonts w:ascii="Times New Roman" w:hAnsi="Times New Roman" w:cs="Times New Roman"/>
                <w:sz w:val="22"/>
                <w:lang w:val="en-US"/>
              </w:rPr>
              <w:t>4; 19(4): 202-207</w:t>
            </w:r>
          </w:p>
          <w:p w14:paraId="2A4B1A27" w14:textId="77777777" w:rsidR="00216949" w:rsidRPr="00557B36" w:rsidRDefault="00216949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Mayor S. Arsenic trioxide combination improves survival in APL. Lancet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Oncol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. 2013 Aug;14(9):e346</w:t>
            </w:r>
          </w:p>
          <w:p w14:paraId="1E3713FA" w14:textId="77777777" w:rsidR="00216949" w:rsidRPr="00557B36" w:rsidRDefault="00216949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Lengfelder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E, Hofmann WK, Nowak D. Treatment of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with arsenic trioxide: clinical results and open questions. Expert Rev Anticancer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Ther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. 2013 Sep;13(9):1035-</w:t>
            </w:r>
            <w:r w:rsidR="00B56676" w:rsidRPr="00557B36"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43</w:t>
            </w:r>
          </w:p>
          <w:p w14:paraId="42060E13" w14:textId="77777777" w:rsidR="00C57A05" w:rsidRPr="00557B36" w:rsidRDefault="00216949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Cheng Y, Zhang L, Wu J, Lu A, Wang B, Liu G. Long-term prognosis of childhood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leukaemia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with arsenic trioxide administration in induction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and consolidation chemotherapy phases: a single-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centre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experience.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Eur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J</w:t>
            </w:r>
            <w:r w:rsidR="00977EC9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Haematol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. 2013</w:t>
            </w:r>
            <w:r w:rsidR="00B56676"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; </w:t>
            </w:r>
            <w:r w:rsidR="00C57A05" w:rsidRPr="00557B36">
              <w:rPr>
                <w:rFonts w:ascii="Times New Roman" w:hAnsi="Times New Roman" w:cs="Times New Roman"/>
                <w:sz w:val="22"/>
                <w:lang w:val="en-US"/>
              </w:rPr>
              <w:t>91(6): 483-489</w:t>
            </w:r>
          </w:p>
          <w:p w14:paraId="4FECCB6F" w14:textId="77777777" w:rsidR="00557B36" w:rsidRPr="00557B36" w:rsidRDefault="00C57A05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Efficace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F,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Mandelli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F,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Avvisati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G,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Cottone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F, Ferrara F, Di Bona E,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Specchia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 G, Breccia M, Levis A,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Sica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S,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Finizio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O,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Kropp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MG,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Fioritoni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G,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Cerqui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E,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Vignetti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M,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Amadori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S,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Schlenk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RF,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Platzbecker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U, Lo-Coco F. Randomized Phase III Trial of Retinoic Acid and Arsenic Trioxide Versus Retinoic Acid and Chemotherapy in Patients With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Leukemia: Health-Related Quality-of-Life Outcomes. J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Clin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Oncol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. 2014</w:t>
            </w:r>
            <w:r w:rsidR="00AF2751" w:rsidRPr="00557B36">
              <w:rPr>
                <w:rFonts w:ascii="Times New Roman" w:hAnsi="Times New Roman" w:cs="Times New Roman"/>
                <w:sz w:val="22"/>
              </w:rPr>
              <w:t>;32(30):3406-3412</w:t>
            </w:r>
          </w:p>
          <w:p w14:paraId="1AA0E7E8" w14:textId="77777777" w:rsidR="00557B36" w:rsidRPr="00557B36" w:rsidRDefault="00557B36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 xml:space="preserve">Creutzig U, </w:t>
            </w:r>
            <w:proofErr w:type="spellStart"/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>Dworzak</w:t>
            </w:r>
            <w:proofErr w:type="spellEnd"/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 xml:space="preserve"> MN, Bochennek K et al.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First experience of the AML-Berlin-Frankfurt-Münster group in pediatric patients with standard-risk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 treated with arsenic trioxide and all-trans retinoid acid.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Pediatr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Blood Cancer 2017; 64 (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epub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ahead)</w:t>
            </w:r>
          </w:p>
          <w:p w14:paraId="2DF12EF9" w14:textId="77777777" w:rsidR="00557B36" w:rsidRPr="00557B36" w:rsidRDefault="00557B36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rFonts w:ascii="Times New Roman" w:hAnsi="Times New Roman" w:cs="Times New Roman"/>
                <w:sz w:val="22"/>
                <w:lang w:val="en-US"/>
              </w:rPr>
            </w:pPr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 xml:space="preserve">Zhang L, </w:t>
            </w:r>
            <w:proofErr w:type="spellStart"/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>Zhao</w:t>
            </w:r>
            <w:proofErr w:type="spellEnd"/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 xml:space="preserve"> H, Zhu X et al.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Retrospective analysis of 65 Chinese children with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leukemia: a single center experience.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Pediatr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Blood Cancer 2008; 51: 210-215</w:t>
            </w:r>
          </w:p>
          <w:p w14:paraId="44140C4F" w14:textId="77777777" w:rsidR="00557B36" w:rsidRPr="00557B36" w:rsidRDefault="00557B36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b/>
                <w:bCs/>
              </w:rPr>
            </w:pPr>
            <w:r w:rsidRPr="00C965DF">
              <w:rPr>
                <w:rFonts w:ascii="Times New Roman" w:hAnsi="Times New Roman" w:cs="Times New Roman"/>
                <w:sz w:val="22"/>
                <w:lang w:val="nl-NL"/>
              </w:rPr>
              <w:t xml:space="preserve">Zhang L, Zhu X, Zou Y et al.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Effect of arsenic trioxide on the treatment of children with newly diagnosed acute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 in China.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Int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J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Hematol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2011; 93: 199-205</w:t>
            </w:r>
          </w:p>
          <w:p w14:paraId="7D56C7D7" w14:textId="5029178D" w:rsidR="00557B36" w:rsidRPr="007A046B" w:rsidRDefault="00557B36" w:rsidP="00557B36">
            <w:pPr>
              <w:pStyle w:val="HTMLVorformatiert"/>
              <w:numPr>
                <w:ilvl w:val="0"/>
                <w:numId w:val="9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426"/>
              </w:tabs>
              <w:autoSpaceDE w:val="0"/>
              <w:autoSpaceDN w:val="0"/>
              <w:adjustRightInd w:val="0"/>
              <w:ind w:left="426" w:hanging="426"/>
              <w:rPr>
                <w:b/>
                <w:bCs/>
              </w:rPr>
            </w:pPr>
            <w:r w:rsidRPr="00C965DF">
              <w:rPr>
                <w:rFonts w:ascii="Times New Roman" w:hAnsi="Times New Roman" w:cs="Times New Roman"/>
                <w:sz w:val="22"/>
                <w:lang w:val="es-ES"/>
              </w:rPr>
              <w:t xml:space="preserve">Lo-Coco F, </w:t>
            </w:r>
            <w:proofErr w:type="spellStart"/>
            <w:r w:rsidRPr="00C965DF">
              <w:rPr>
                <w:rFonts w:ascii="Times New Roman" w:hAnsi="Times New Roman" w:cs="Times New Roman"/>
                <w:sz w:val="22"/>
                <w:lang w:val="es-ES"/>
              </w:rPr>
              <w:t>Avvisati</w:t>
            </w:r>
            <w:proofErr w:type="spellEnd"/>
            <w:r w:rsidRPr="00C965DF">
              <w:rPr>
                <w:rFonts w:ascii="Times New Roman" w:hAnsi="Times New Roman" w:cs="Times New Roman"/>
                <w:sz w:val="22"/>
                <w:lang w:val="es-ES"/>
              </w:rPr>
              <w:t xml:space="preserve"> G, </w:t>
            </w:r>
            <w:proofErr w:type="spellStart"/>
            <w:r w:rsidRPr="00C965DF">
              <w:rPr>
                <w:rFonts w:ascii="Times New Roman" w:hAnsi="Times New Roman" w:cs="Times New Roman"/>
                <w:sz w:val="22"/>
                <w:lang w:val="es-ES"/>
              </w:rPr>
              <w:t>Vignetti</w:t>
            </w:r>
            <w:proofErr w:type="spellEnd"/>
            <w:r w:rsidRPr="00C965DF">
              <w:rPr>
                <w:rFonts w:ascii="Times New Roman" w:hAnsi="Times New Roman" w:cs="Times New Roman"/>
                <w:sz w:val="22"/>
                <w:lang w:val="es-ES"/>
              </w:rPr>
              <w:t xml:space="preserve"> M et al. </w:t>
            </w:r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Retinoic acid and arsenic trioxide for acute 257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promyelocytic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leukemia. N </w:t>
            </w:r>
            <w:proofErr w:type="spellStart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>Engl</w:t>
            </w:r>
            <w:proofErr w:type="spellEnd"/>
            <w:r w:rsidRPr="00557B36">
              <w:rPr>
                <w:rFonts w:ascii="Times New Roman" w:hAnsi="Times New Roman" w:cs="Times New Roman"/>
                <w:sz w:val="22"/>
                <w:lang w:val="en-US"/>
              </w:rPr>
              <w:t xml:space="preserve"> J Med 2013; 369: 111-121</w:t>
            </w:r>
          </w:p>
        </w:tc>
      </w:tr>
    </w:tbl>
    <w:p w14:paraId="21A17985" w14:textId="77777777" w:rsidR="002B243B" w:rsidRPr="001E4DF6" w:rsidRDefault="002B243B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2B243B" w:rsidRPr="007A046B" w14:paraId="32B55F2B" w14:textId="77777777">
        <w:tc>
          <w:tcPr>
            <w:tcW w:w="9333" w:type="dxa"/>
          </w:tcPr>
          <w:p w14:paraId="4ABF949E" w14:textId="77777777" w:rsidR="002B243B" w:rsidRPr="007A046B" w:rsidRDefault="002B243B" w:rsidP="00EE1046">
            <w:pPr>
              <w:rPr>
                <w:b/>
                <w:bCs/>
              </w:rPr>
            </w:pPr>
            <w:r w:rsidRPr="007A046B">
              <w:rPr>
                <w:b/>
                <w:bCs/>
              </w:rPr>
              <w:t>1.</w:t>
            </w:r>
            <w:r w:rsidR="00EE1046">
              <w:rPr>
                <w:b/>
                <w:bCs/>
              </w:rPr>
              <w:t>6</w:t>
            </w:r>
            <w:r w:rsidRPr="007A046B">
              <w:rPr>
                <w:b/>
                <w:bCs/>
              </w:rPr>
              <w:t xml:space="preserve"> Mit welchem OPS wird die Methode verschlüsselt?</w:t>
            </w:r>
          </w:p>
        </w:tc>
      </w:tr>
      <w:tr w:rsidR="002B243B" w:rsidRPr="007A046B" w14:paraId="4311B1CD" w14:textId="77777777">
        <w:tc>
          <w:tcPr>
            <w:tcW w:w="9333" w:type="dxa"/>
          </w:tcPr>
          <w:p w14:paraId="7310D26E" w14:textId="77777777" w:rsidR="002B243B" w:rsidRPr="005747AB" w:rsidRDefault="00673E8B" w:rsidP="005747AB">
            <w:pPr>
              <w:pStyle w:val="berschrift6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5747AB">
              <w:rPr>
                <w:rStyle w:val="label"/>
                <w:rFonts w:ascii="Arial" w:hAnsi="Arial" w:cs="Arial"/>
                <w:b w:val="0"/>
                <w:sz w:val="22"/>
                <w:szCs w:val="22"/>
              </w:rPr>
              <w:t>Arsentrioxid</w:t>
            </w:r>
            <w:proofErr w:type="spellEnd"/>
            <w:r w:rsidRPr="005747AB">
              <w:rPr>
                <w:rStyle w:val="label"/>
                <w:rFonts w:ascii="Arial" w:hAnsi="Arial" w:cs="Arial"/>
                <w:b w:val="0"/>
                <w:sz w:val="22"/>
                <w:szCs w:val="22"/>
              </w:rPr>
              <w:t>, parenteral,</w:t>
            </w:r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1" w:name="code6-005.5"/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wird </w:t>
            </w:r>
            <w:r w:rsidR="005747AB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seit 2010 </w:t>
            </w:r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>über den OPS-Code 6-005.5</w:t>
            </w:r>
            <w:bookmarkEnd w:id="1"/>
            <w:r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verschlüsselt.</w:t>
            </w:r>
            <w:r w:rsidR="005747AB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Ein dosisgestaffelter </w:t>
            </w:r>
            <w:r w:rsidR="00216949" w:rsidRPr="005747AB">
              <w:rPr>
                <w:rFonts w:ascii="Arial" w:hAnsi="Arial" w:cs="Arial"/>
                <w:b w:val="0"/>
                <w:sz w:val="22"/>
                <w:szCs w:val="22"/>
              </w:rPr>
              <w:t>OPS-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Code für diese Methode ist </w:t>
            </w:r>
            <w:r w:rsidR="0029737A" w:rsidRPr="005747AB">
              <w:rPr>
                <w:rFonts w:ascii="Arial" w:hAnsi="Arial" w:cs="Arial"/>
                <w:b w:val="0"/>
                <w:sz w:val="22"/>
                <w:szCs w:val="22"/>
              </w:rPr>
              <w:t xml:space="preserve">bisher </w:t>
            </w:r>
            <w:r w:rsidR="00E66BC3" w:rsidRPr="005747AB">
              <w:rPr>
                <w:rFonts w:ascii="Arial" w:hAnsi="Arial" w:cs="Arial"/>
                <w:b w:val="0"/>
                <w:sz w:val="22"/>
                <w:szCs w:val="22"/>
              </w:rPr>
              <w:t>nicht definiert worden.</w:t>
            </w:r>
          </w:p>
          <w:p w14:paraId="6765AFAF" w14:textId="77777777" w:rsidR="006C360D" w:rsidRPr="005747AB" w:rsidRDefault="006C360D" w:rsidP="00AF2751">
            <w:r w:rsidRPr="006C360D">
              <w:t>(Anmerkung: Chemotherapie mit einem Code aus 8</w:t>
            </w:r>
            <w:r w:rsidRPr="005747AB">
              <w:t>.</w:t>
            </w:r>
            <w:r w:rsidRPr="006C360D">
              <w:t>542 bis 8</w:t>
            </w:r>
            <w:r w:rsidRPr="005747AB">
              <w:t>.</w:t>
            </w:r>
            <w:r w:rsidRPr="006C360D">
              <w:t>544. Wenn keine Kombinationstherapie gegeben wird, wird in der Regel nur 8</w:t>
            </w:r>
            <w:r w:rsidR="005747AB" w:rsidRPr="005747AB">
              <w:t>.</w:t>
            </w:r>
            <w:r w:rsidRPr="006C360D">
              <w:t>542 zu kodieren sein.</w:t>
            </w:r>
            <w:r w:rsidR="005747AB">
              <w:t>)</w:t>
            </w:r>
          </w:p>
        </w:tc>
      </w:tr>
      <w:tr w:rsidR="00513D34" w:rsidRPr="005638EB" w14:paraId="3B71577B" w14:textId="77777777" w:rsidTr="00513D34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EE86" w14:textId="77777777" w:rsidR="00513D34" w:rsidRPr="00513D34" w:rsidRDefault="00513D34" w:rsidP="00513D34">
            <w:pPr>
              <w:pStyle w:val="berschrift6"/>
              <w:rPr>
                <w:rFonts w:ascii="Arial" w:hAnsi="Arial" w:cs="Arial"/>
                <w:sz w:val="22"/>
                <w:szCs w:val="22"/>
              </w:rPr>
            </w:pPr>
            <w:r w:rsidRPr="00513D34">
              <w:rPr>
                <w:rFonts w:ascii="Arial" w:hAnsi="Arial" w:cs="Arial"/>
                <w:sz w:val="22"/>
                <w:szCs w:val="22"/>
              </w:rPr>
              <w:t xml:space="preserve">Beruht die neue Untersuchungs- und Behandlungsmethode vollständig oder in Teilen auf dem Einsatz eines Medizinproduktes? </w:t>
            </w:r>
            <w:r w:rsidRPr="00513D34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13D34" w:rsidRPr="005638EB" w14:paraId="5D71B153" w14:textId="77777777" w:rsidTr="00513D34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A7F" w14:textId="77777777" w:rsidR="00513D34" w:rsidRPr="00513D34" w:rsidRDefault="00513D34" w:rsidP="00513D34">
            <w:pPr>
              <w:pStyle w:val="berschrift6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</w:t>
            </w:r>
            <w:r w:rsidRPr="00513D34">
              <w:rPr>
                <w:rFonts w:ascii="Arial" w:hAnsi="Arial" w:cs="Arial"/>
                <w:b w:val="0"/>
                <w:sz w:val="22"/>
                <w:szCs w:val="22"/>
              </w:rPr>
              <w:t>ein</w:t>
            </w:r>
          </w:p>
        </w:tc>
      </w:tr>
    </w:tbl>
    <w:p w14:paraId="6DAC96EA" w14:textId="77777777" w:rsidR="00E66BC3" w:rsidRPr="00733DC6" w:rsidRDefault="00E66BC3" w:rsidP="002202B2">
      <w:pPr>
        <w:tabs>
          <w:tab w:val="num" w:pos="5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E66BC3" w:rsidRPr="007A046B" w14:paraId="28932E3B" w14:textId="77777777">
        <w:tc>
          <w:tcPr>
            <w:tcW w:w="9333" w:type="dxa"/>
          </w:tcPr>
          <w:p w14:paraId="11268014" w14:textId="77777777" w:rsidR="00E66BC3" w:rsidRPr="007A046B" w:rsidRDefault="00E66BC3" w:rsidP="007A04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7A046B">
              <w:rPr>
                <w:b/>
                <w:bCs/>
              </w:rPr>
              <w:t>2.1 Bei welchen Patienten wird die Methode angewandt (Indikation)?</w:t>
            </w:r>
          </w:p>
          <w:p w14:paraId="0D0C367E" w14:textId="77777777" w:rsidR="00E66BC3" w:rsidRPr="007A046B" w:rsidRDefault="0045256B" w:rsidP="00AF2751">
            <w:pPr>
              <w:tabs>
                <w:tab w:val="num" w:pos="540"/>
              </w:tabs>
              <w:rPr>
                <w:b/>
              </w:rPr>
            </w:pPr>
            <w:r w:rsidRPr="00733DC6">
              <w:t xml:space="preserve">Bei Patienten mit </w:t>
            </w:r>
            <w:r w:rsidR="001F465E">
              <w:t xml:space="preserve">neudiagnostizierter oder </w:t>
            </w:r>
            <w:r w:rsidRPr="00733DC6">
              <w:t>rezidivierender/refraktärer akut</w:t>
            </w:r>
            <w:r w:rsidR="0029737A" w:rsidRPr="00733DC6">
              <w:t xml:space="preserve">er </w:t>
            </w:r>
            <w:proofErr w:type="spellStart"/>
            <w:r w:rsidR="0029737A" w:rsidRPr="00733DC6">
              <w:t>Promyelozytenleukämie</w:t>
            </w:r>
            <w:proofErr w:type="spellEnd"/>
            <w:r w:rsidR="0029737A" w:rsidRPr="00733DC6">
              <w:t xml:space="preserve"> (APL).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gilt für diese Indikation als Therapie der Wahl. Weiter</w:t>
            </w:r>
            <w:r w:rsidR="0029737A" w:rsidRPr="00733DC6">
              <w:t xml:space="preserve">hin hat </w:t>
            </w:r>
            <w:proofErr w:type="spellStart"/>
            <w:r w:rsidR="0029737A" w:rsidRPr="00733DC6">
              <w:t>Arsentrioxid</w:t>
            </w:r>
            <w:proofErr w:type="spellEnd"/>
            <w:r w:rsidR="0029737A" w:rsidRPr="00733DC6">
              <w:t xml:space="preserve"> von der EM</w:t>
            </w:r>
            <w:r w:rsidRPr="00733DC6">
              <w:t xml:space="preserve">A für weitere Indikationen den Status einer </w:t>
            </w:r>
            <w:proofErr w:type="spellStart"/>
            <w:r w:rsidRPr="00733DC6">
              <w:t>Orphan</w:t>
            </w:r>
            <w:proofErr w:type="spellEnd"/>
            <w:r w:rsidRPr="00733DC6">
              <w:t xml:space="preserve"> Drug bekommen (Akute </w:t>
            </w:r>
            <w:proofErr w:type="spellStart"/>
            <w:r w:rsidRPr="00733DC6">
              <w:t>myeloische</w:t>
            </w:r>
            <w:proofErr w:type="spellEnd"/>
            <w:r w:rsidRPr="00733DC6">
              <w:t xml:space="preserve"> </w:t>
            </w:r>
            <w:r w:rsidRPr="007A046B">
              <w:rPr>
                <w:rFonts w:eastAsia="MS Mincho"/>
                <w:lang w:eastAsia="ja-JP"/>
              </w:rPr>
              <w:t xml:space="preserve">Leukämie, </w:t>
            </w:r>
            <w:proofErr w:type="spellStart"/>
            <w:r w:rsidRPr="007A046B">
              <w:rPr>
                <w:rFonts w:eastAsia="MS Mincho"/>
                <w:lang w:eastAsia="ja-JP"/>
              </w:rPr>
              <w:t>Myelodysplastisches</w:t>
            </w:r>
            <w:proofErr w:type="spellEnd"/>
            <w:r w:rsidRPr="007A046B">
              <w:rPr>
                <w:rFonts w:eastAsia="MS Mincho"/>
                <w:lang w:eastAsia="ja-JP"/>
              </w:rPr>
              <w:t xml:space="preserve"> Syndrom, Multiples </w:t>
            </w:r>
            <w:proofErr w:type="spellStart"/>
            <w:r w:rsidRPr="007A046B">
              <w:rPr>
                <w:rFonts w:eastAsia="MS Mincho"/>
                <w:lang w:eastAsia="ja-JP"/>
              </w:rPr>
              <w:t>Myelom</w:t>
            </w:r>
            <w:proofErr w:type="spellEnd"/>
            <w:r w:rsidRPr="007A046B">
              <w:rPr>
                <w:rFonts w:eastAsia="MS Mincho"/>
                <w:lang w:eastAsia="ja-JP"/>
              </w:rPr>
              <w:t xml:space="preserve">). Für alle diese Indikationen </w:t>
            </w:r>
            <w:r w:rsidR="00961BDE">
              <w:rPr>
                <w:rFonts w:eastAsia="MS Mincho"/>
                <w:lang w:eastAsia="ja-JP"/>
              </w:rPr>
              <w:t xml:space="preserve">und die neu diagnostizierte APL </w:t>
            </w:r>
            <w:r w:rsidRPr="007A046B">
              <w:rPr>
                <w:rFonts w:eastAsia="MS Mincho"/>
                <w:lang w:eastAsia="ja-JP"/>
              </w:rPr>
              <w:t xml:space="preserve">liegen klinische Daten zur Wirksamkeit und Verträglichkeit vor, jedoch </w:t>
            </w:r>
            <w:r w:rsidR="00961BDE">
              <w:rPr>
                <w:rFonts w:eastAsia="MS Mincho"/>
                <w:lang w:eastAsia="ja-JP"/>
              </w:rPr>
              <w:t xml:space="preserve">bisher </w:t>
            </w:r>
            <w:r w:rsidRPr="007A046B">
              <w:rPr>
                <w:rFonts w:eastAsia="MS Mincho"/>
                <w:lang w:eastAsia="ja-JP"/>
              </w:rPr>
              <w:t xml:space="preserve">noch </w:t>
            </w:r>
            <w:r w:rsidR="00AF2751">
              <w:rPr>
                <w:rFonts w:eastAsia="MS Mincho"/>
                <w:lang w:eastAsia="ja-JP"/>
              </w:rPr>
              <w:t>ohne</w:t>
            </w:r>
            <w:r w:rsidRPr="007A046B">
              <w:rPr>
                <w:rFonts w:eastAsia="MS Mincho"/>
                <w:lang w:eastAsia="ja-JP"/>
              </w:rPr>
              <w:t xml:space="preserve"> Zulassung</w:t>
            </w:r>
            <w:r w:rsidR="00AF2751">
              <w:rPr>
                <w:rFonts w:eastAsia="MS Mincho"/>
                <w:lang w:eastAsia="ja-JP"/>
              </w:rPr>
              <w:t xml:space="preserve"> für die Indikation der APL</w:t>
            </w:r>
            <w:r w:rsidRPr="007A046B">
              <w:rPr>
                <w:rFonts w:eastAsia="MS Mincho"/>
                <w:lang w:eastAsia="ja-JP"/>
              </w:rPr>
              <w:t>.</w:t>
            </w:r>
          </w:p>
        </w:tc>
      </w:tr>
    </w:tbl>
    <w:p w14:paraId="31615896" w14:textId="77777777" w:rsidR="0045256B" w:rsidRPr="00733DC6" w:rsidRDefault="0045256B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45256B" w:rsidRPr="007A046B" w14:paraId="01DE3E45" w14:textId="77777777">
        <w:tc>
          <w:tcPr>
            <w:tcW w:w="9333" w:type="dxa"/>
          </w:tcPr>
          <w:p w14:paraId="7E905372" w14:textId="77777777" w:rsidR="0045256B" w:rsidRPr="007A046B" w:rsidRDefault="0045256B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2.2 Welche bestehende Methode wird durch die neue Methode abgelöst oder ergänzt?</w:t>
            </w:r>
          </w:p>
        </w:tc>
      </w:tr>
      <w:tr w:rsidR="0045256B" w:rsidRPr="007A046B" w14:paraId="13EF400B" w14:textId="77777777">
        <w:tc>
          <w:tcPr>
            <w:tcW w:w="9333" w:type="dxa"/>
          </w:tcPr>
          <w:p w14:paraId="4607884D" w14:textId="77777777" w:rsidR="00AA4564" w:rsidRDefault="0045256B" w:rsidP="001F465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733DC6">
              <w:t>Alternativ kann, wie bei der Erstdiagnose mit Chemotherapie plus All-Trans-</w:t>
            </w:r>
            <w:proofErr w:type="spellStart"/>
            <w:r w:rsidRPr="00733DC6">
              <w:t>Retinsäure</w:t>
            </w:r>
            <w:proofErr w:type="spellEnd"/>
            <w:r w:rsidRPr="00733DC6">
              <w:t xml:space="preserve"> (ATRA) therapiert werden. Die Ergebnisse sind j</w:t>
            </w:r>
            <w:r w:rsidR="005805ED" w:rsidRPr="00733DC6">
              <w:t>e</w:t>
            </w:r>
            <w:r w:rsidRPr="00733DC6">
              <w:t xml:space="preserve">doch schlechter. </w:t>
            </w:r>
          </w:p>
          <w:p w14:paraId="2A04C466" w14:textId="413CF229" w:rsidR="0045256B" w:rsidRPr="007A046B" w:rsidRDefault="0045256B" w:rsidP="001F465E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lastRenderedPageBreak/>
              <w:t xml:space="preserve">ATRA </w:t>
            </w:r>
            <w:r w:rsidR="00AA4564">
              <w:t xml:space="preserve">bleibt zusätzlich zum ATO weiterhin Bestandteil der Therapie </w:t>
            </w:r>
            <w:r w:rsidRPr="00733DC6">
              <w:t xml:space="preserve">und </w:t>
            </w:r>
            <w:r w:rsidR="00AA4564">
              <w:t xml:space="preserve">die </w:t>
            </w:r>
            <w:r w:rsidRPr="00733DC6">
              <w:t>Chemotherapie</w:t>
            </w:r>
            <w:r w:rsidR="00AA4564">
              <w:t xml:space="preserve"> ist in Untergruppen (Patienten mit Hochrisiko-Kriterien) weiter in der Therapie</w:t>
            </w:r>
            <w:r w:rsidR="00961BDE">
              <w:t xml:space="preserve"> enthalten</w:t>
            </w:r>
            <w:r w:rsidR="000D1838">
              <w:t xml:space="preserve"> jedoch immer in Kombination mit ATO</w:t>
            </w:r>
            <w:r w:rsidR="00961BDE">
              <w:t>.</w:t>
            </w:r>
          </w:p>
        </w:tc>
      </w:tr>
    </w:tbl>
    <w:p w14:paraId="5C78A84E" w14:textId="77777777" w:rsidR="005805ED" w:rsidRPr="00733DC6" w:rsidRDefault="005805ED" w:rsidP="002202B2">
      <w:pPr>
        <w:tabs>
          <w:tab w:val="left" w:pos="360"/>
        </w:tabs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5805ED" w:rsidRPr="007A046B" w14:paraId="2290483B" w14:textId="77777777">
        <w:tc>
          <w:tcPr>
            <w:tcW w:w="9333" w:type="dxa"/>
          </w:tcPr>
          <w:p w14:paraId="1BDDAF06" w14:textId="77777777" w:rsidR="005805ED" w:rsidRPr="007A046B" w:rsidRDefault="005805ED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2.3 Ist die Methode vollständig oder in Teilen neu und warum handelt es sich um eine neue Untersuchungs- und Behandlungsmethode?</w:t>
            </w:r>
          </w:p>
        </w:tc>
      </w:tr>
      <w:tr w:rsidR="005805ED" w:rsidRPr="007A046B" w14:paraId="088FDC8C" w14:textId="77777777">
        <w:tc>
          <w:tcPr>
            <w:tcW w:w="9333" w:type="dxa"/>
          </w:tcPr>
          <w:p w14:paraId="142FCB1D" w14:textId="6CDDC45D" w:rsidR="005805ED" w:rsidRPr="007A046B" w:rsidRDefault="001801C2" w:rsidP="00634D9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hat keine Verwand</w:t>
            </w:r>
            <w:r w:rsidR="00530A99">
              <w:t>t</w:t>
            </w:r>
            <w:r w:rsidRPr="00733DC6">
              <w:t xml:space="preserve">schaft mit anderen, bereits länger verfügbaren Medikamenten. </w:t>
            </w:r>
            <w:r w:rsidR="00FC15D8">
              <w:t>Es i</w:t>
            </w:r>
            <w:r w:rsidRPr="00733DC6">
              <w:t xml:space="preserve">st jetzt fester Bestandteil der Therapiekonzepte bei </w:t>
            </w:r>
            <w:r w:rsidR="00487FEC">
              <w:t>neu diagn</w:t>
            </w:r>
            <w:r w:rsidR="00AF2751">
              <w:t>o</w:t>
            </w:r>
            <w:r w:rsidR="00487FEC">
              <w:t>s</w:t>
            </w:r>
            <w:r w:rsidR="00AF2751">
              <w:t xml:space="preserve">tizierter und </w:t>
            </w:r>
            <w:r w:rsidR="003031C7" w:rsidRPr="00733DC6">
              <w:t>rezidivier</w:t>
            </w:r>
            <w:r w:rsidR="00216949">
              <w:t>ter</w:t>
            </w:r>
            <w:r w:rsidR="003031C7" w:rsidRPr="00733DC6">
              <w:t>/</w:t>
            </w:r>
            <w:r w:rsidRPr="00733DC6">
              <w:t xml:space="preserve">refraktärer akuter </w:t>
            </w:r>
            <w:proofErr w:type="spellStart"/>
            <w:r w:rsidRPr="00733DC6">
              <w:t>promyelozytärer</w:t>
            </w:r>
            <w:proofErr w:type="spellEnd"/>
            <w:r w:rsidRPr="00733DC6">
              <w:t xml:space="preserve"> Leukämie.</w:t>
            </w:r>
            <w:r w:rsidR="001F465E">
              <w:t xml:space="preserve"> I</w:t>
            </w:r>
            <w:r w:rsidRPr="00733DC6">
              <w:t>n Studien</w:t>
            </w:r>
            <w:r w:rsidR="001F465E">
              <w:t xml:space="preserve"> wurde</w:t>
            </w:r>
            <w:r w:rsidRPr="00733DC6">
              <w:t xml:space="preserve"> der Einsatz in der Primärtherapie geprüft. In den Informationen nach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für </w:t>
            </w:r>
            <w:r w:rsidR="005B3F2A" w:rsidRPr="00733DC6">
              <w:t>20</w:t>
            </w:r>
            <w:r w:rsidR="005B3F2A">
              <w:t>2</w:t>
            </w:r>
            <w:r w:rsidR="00634D9D">
              <w:t>2</w:t>
            </w:r>
            <w:r w:rsidR="005B3F2A" w:rsidRPr="00733DC6">
              <w:t xml:space="preserve"> </w:t>
            </w:r>
            <w:r w:rsidRPr="00733DC6">
              <w:t xml:space="preserve">erhielt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den Status 1 (Position </w:t>
            </w:r>
            <w:r w:rsidR="00634D9D">
              <w:t>39</w:t>
            </w:r>
            <w:r w:rsidRPr="00733DC6">
              <w:t>).</w:t>
            </w:r>
          </w:p>
        </w:tc>
      </w:tr>
    </w:tbl>
    <w:p w14:paraId="120CA581" w14:textId="77777777" w:rsidR="005805ED" w:rsidRPr="00733DC6" w:rsidRDefault="005805ED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1801C2" w:rsidRPr="007A046B" w14:paraId="52D0DA1B" w14:textId="77777777">
        <w:tc>
          <w:tcPr>
            <w:tcW w:w="9333" w:type="dxa"/>
          </w:tcPr>
          <w:p w14:paraId="0A35F3A6" w14:textId="77777777" w:rsidR="001801C2" w:rsidRPr="007A046B" w:rsidRDefault="001801C2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2.4 Welche Auswirkung hat die Methode auf die Verweildauer im Krankenhaus?</w:t>
            </w:r>
          </w:p>
        </w:tc>
      </w:tr>
      <w:tr w:rsidR="001801C2" w:rsidRPr="007A046B" w14:paraId="501442E3" w14:textId="77777777">
        <w:tc>
          <w:tcPr>
            <w:tcW w:w="9333" w:type="dxa"/>
          </w:tcPr>
          <w:p w14:paraId="314C1D7E" w14:textId="77777777" w:rsidR="001801C2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Auf diese Frage liegen keine publizierten Daten vor. Im Vergleich zu einer Kombinationschemotherapie sind eher kürzere Aufenthalte zu erwarten.</w:t>
            </w:r>
          </w:p>
        </w:tc>
      </w:tr>
    </w:tbl>
    <w:p w14:paraId="3456EFAF" w14:textId="77777777" w:rsidR="00501D32" w:rsidRPr="00733DC6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3031C7" w:rsidRPr="007A046B" w14:paraId="59B90600" w14:textId="77777777">
        <w:tc>
          <w:tcPr>
            <w:tcW w:w="9333" w:type="dxa"/>
          </w:tcPr>
          <w:p w14:paraId="0635D1A9" w14:textId="77777777" w:rsidR="003031C7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3.1 Wann wurde diese Methode in Deutschland eingeführt?</w:t>
            </w:r>
          </w:p>
        </w:tc>
      </w:tr>
      <w:tr w:rsidR="003031C7" w:rsidRPr="007A046B" w14:paraId="6108C381" w14:textId="77777777">
        <w:tc>
          <w:tcPr>
            <w:tcW w:w="9333" w:type="dxa"/>
          </w:tcPr>
          <w:p w14:paraId="2A282463" w14:textId="77777777" w:rsidR="003031C7" w:rsidRPr="007A046B" w:rsidRDefault="003031C7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Seit der Zulassung</w:t>
            </w:r>
            <w:r w:rsidR="007E5FB3" w:rsidRPr="00733DC6">
              <w:t xml:space="preserve"> 2002</w:t>
            </w:r>
            <w:r w:rsidRPr="00733DC6">
              <w:t>, davor Anwendung in Studien.</w:t>
            </w:r>
          </w:p>
        </w:tc>
      </w:tr>
    </w:tbl>
    <w:p w14:paraId="28410807" w14:textId="77777777" w:rsidR="001801C2" w:rsidRPr="00733DC6" w:rsidRDefault="001801C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 w14:paraId="11EABDD1" w14:textId="77777777">
        <w:tc>
          <w:tcPr>
            <w:tcW w:w="9333" w:type="dxa"/>
          </w:tcPr>
          <w:p w14:paraId="61DDB80D" w14:textId="77777777"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3.2 Bei Medikamenten: Wann wurde dieses Medikament zugelassen?</w:t>
            </w:r>
          </w:p>
        </w:tc>
      </w:tr>
      <w:tr w:rsidR="007E5FB3" w:rsidRPr="007A046B" w14:paraId="64AF7717" w14:textId="77777777">
        <w:tc>
          <w:tcPr>
            <w:tcW w:w="9333" w:type="dxa"/>
          </w:tcPr>
          <w:p w14:paraId="7580AE66" w14:textId="77777777"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Zulassung durch die EMA 2002</w:t>
            </w:r>
          </w:p>
        </w:tc>
      </w:tr>
    </w:tbl>
    <w:p w14:paraId="3A7886E5" w14:textId="77777777"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 w14:paraId="597AF591" w14:textId="77777777">
        <w:tc>
          <w:tcPr>
            <w:tcW w:w="9333" w:type="dxa"/>
          </w:tcPr>
          <w:p w14:paraId="3CDBDB5B" w14:textId="77777777"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3.3 Wann wurde bzw. wird die Methode in Ihrem Krankenhaus eingeführt?</w:t>
            </w:r>
          </w:p>
        </w:tc>
      </w:tr>
      <w:tr w:rsidR="007E5FB3" w:rsidRPr="007A046B" w14:paraId="6FDC6F0A" w14:textId="77777777">
        <w:tc>
          <w:tcPr>
            <w:tcW w:w="9333" w:type="dxa"/>
          </w:tcPr>
          <w:p w14:paraId="5D2BAEC4" w14:textId="77777777"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highlight w:val="yellow"/>
              </w:rPr>
              <w:t>XXXX</w:t>
            </w:r>
          </w:p>
        </w:tc>
      </w:tr>
    </w:tbl>
    <w:p w14:paraId="769CCAAA" w14:textId="77777777"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7A046B" w14:paraId="4652BEA2" w14:textId="77777777">
        <w:tc>
          <w:tcPr>
            <w:tcW w:w="9333" w:type="dxa"/>
          </w:tcPr>
          <w:p w14:paraId="7817DBA8" w14:textId="77777777" w:rsidR="007E5FB3" w:rsidRPr="007A046B" w:rsidRDefault="007E5FB3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3.4. In wie vielen Kliniken wird diese Methode zurzeit eingesetzt (Schätzung)?</w:t>
            </w:r>
          </w:p>
        </w:tc>
      </w:tr>
      <w:tr w:rsidR="007E5FB3" w:rsidRPr="007A046B" w14:paraId="0756C05C" w14:textId="77777777">
        <w:tc>
          <w:tcPr>
            <w:tcW w:w="9193" w:type="dxa"/>
          </w:tcPr>
          <w:p w14:paraId="6F681767" w14:textId="77777777" w:rsidR="007E5FB3" w:rsidRPr="007A046B" w:rsidRDefault="00120EB8" w:rsidP="00FB6211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733DC6">
              <w:t>Arsentrioxid</w:t>
            </w:r>
            <w:proofErr w:type="spellEnd"/>
            <w:r w:rsidRPr="00733DC6">
              <w:t xml:space="preserve"> ist </w:t>
            </w:r>
            <w:r w:rsidR="00FB6211">
              <w:t xml:space="preserve">geschätzt </w:t>
            </w:r>
            <w:r w:rsidRPr="00733DC6">
              <w:t xml:space="preserve">in </w:t>
            </w:r>
            <w:r w:rsidR="00E17365">
              <w:t xml:space="preserve">mehr als </w:t>
            </w:r>
            <w:r w:rsidR="00FB6211">
              <w:t>10</w:t>
            </w:r>
            <w:r w:rsidR="007E5FB3" w:rsidRPr="00733DC6">
              <w:t>0 Kliniken</w:t>
            </w:r>
            <w:r w:rsidRPr="00733DC6">
              <w:t xml:space="preserve"> in Deutschland</w:t>
            </w:r>
            <w:r w:rsidR="00FB6211">
              <w:t xml:space="preserve"> im Einsatz. Es wurde und wird </w:t>
            </w:r>
            <w:r w:rsidRPr="00733DC6">
              <w:t xml:space="preserve">international unter anderem auch in Deutschland in Studien zur Primärtherapie der Akuten </w:t>
            </w:r>
            <w:proofErr w:type="spellStart"/>
            <w:r w:rsidRPr="00733DC6">
              <w:t>Promyelozytenleukämie</w:t>
            </w:r>
            <w:proofErr w:type="spellEnd"/>
            <w:r w:rsidRPr="00733DC6">
              <w:t xml:space="preserve"> eingesetzt und für diese Indikation geprüft.</w:t>
            </w:r>
          </w:p>
        </w:tc>
      </w:tr>
    </w:tbl>
    <w:p w14:paraId="261E394E" w14:textId="77777777" w:rsidR="00501D32" w:rsidRPr="00733DC6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 w14:paraId="56EE50B5" w14:textId="77777777">
        <w:tc>
          <w:tcPr>
            <w:tcW w:w="9333" w:type="dxa"/>
          </w:tcPr>
          <w:p w14:paraId="70891B6E" w14:textId="1E871740" w:rsidR="00AA6825" w:rsidRPr="007A046B" w:rsidRDefault="00AA6825" w:rsidP="005B3F2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3.5 Wie viele Patienten wurden in Ihrem Krankenhaus in </w:t>
            </w:r>
            <w:r w:rsidR="005B3F2A" w:rsidRPr="007A046B">
              <w:rPr>
                <w:b/>
                <w:bCs/>
              </w:rPr>
              <w:t>20</w:t>
            </w:r>
            <w:r w:rsidR="00634D9D">
              <w:rPr>
                <w:b/>
                <w:bCs/>
              </w:rPr>
              <w:t>21</w:t>
            </w:r>
            <w:r w:rsidR="005B3F2A" w:rsidRPr="007A046B">
              <w:rPr>
                <w:b/>
                <w:bCs/>
              </w:rPr>
              <w:t xml:space="preserve"> </w:t>
            </w:r>
            <w:r w:rsidRPr="007A046B">
              <w:rPr>
                <w:b/>
                <w:bCs/>
              </w:rPr>
              <w:t xml:space="preserve">oder in </w:t>
            </w:r>
            <w:r w:rsidR="005B3F2A" w:rsidRPr="007A046B">
              <w:rPr>
                <w:b/>
                <w:bCs/>
              </w:rPr>
              <w:t>20</w:t>
            </w:r>
            <w:r w:rsidR="005B3F2A">
              <w:rPr>
                <w:b/>
                <w:bCs/>
              </w:rPr>
              <w:t>2</w:t>
            </w:r>
            <w:r w:rsidR="00634D9D">
              <w:rPr>
                <w:b/>
                <w:bCs/>
              </w:rPr>
              <w:t>2</w:t>
            </w:r>
            <w:r w:rsidR="005B3F2A" w:rsidRPr="007A046B">
              <w:rPr>
                <w:b/>
                <w:bCs/>
              </w:rPr>
              <w:t xml:space="preserve"> </w:t>
            </w:r>
            <w:r w:rsidRPr="007A046B">
              <w:rPr>
                <w:b/>
                <w:bCs/>
              </w:rPr>
              <w:t>mit dieser Methode behandelt?</w:t>
            </w:r>
          </w:p>
        </w:tc>
      </w:tr>
      <w:tr w:rsidR="00AA6825" w:rsidRPr="007A046B" w14:paraId="4B1F0EA1" w14:textId="77777777">
        <w:tc>
          <w:tcPr>
            <w:tcW w:w="9333" w:type="dxa"/>
          </w:tcPr>
          <w:p w14:paraId="0F9B1270" w14:textId="1E6660F4" w:rsidR="00AA6825" w:rsidRPr="007A046B" w:rsidRDefault="005B3F2A" w:rsidP="005B3F2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</w:t>
            </w:r>
            <w:r w:rsidR="00634D9D">
              <w:rPr>
                <w:b/>
              </w:rPr>
              <w:t>21</w:t>
            </w:r>
            <w:r w:rsidR="00AA6825" w:rsidRPr="007A046B">
              <w:rPr>
                <w:b/>
              </w:rPr>
              <w:t xml:space="preserve">: </w:t>
            </w:r>
            <w:r w:rsidR="00AA6825" w:rsidRPr="007A046B">
              <w:rPr>
                <w:b/>
                <w:highlight w:val="yellow"/>
              </w:rPr>
              <w:t>XXXX</w:t>
            </w:r>
          </w:p>
        </w:tc>
      </w:tr>
      <w:tr w:rsidR="00AA6825" w:rsidRPr="007A046B" w14:paraId="5128237F" w14:textId="77777777">
        <w:tc>
          <w:tcPr>
            <w:tcW w:w="9179" w:type="dxa"/>
          </w:tcPr>
          <w:p w14:paraId="01811C52" w14:textId="58A220D1" w:rsidR="00AA6825" w:rsidRPr="007A046B" w:rsidRDefault="005B3F2A" w:rsidP="005B3F2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</w:t>
            </w:r>
            <w:r>
              <w:rPr>
                <w:b/>
              </w:rPr>
              <w:t>2</w:t>
            </w:r>
            <w:r w:rsidR="00634D9D">
              <w:rPr>
                <w:b/>
              </w:rPr>
              <w:t>2</w:t>
            </w:r>
            <w:r w:rsidR="00AA6825" w:rsidRPr="007A046B">
              <w:rPr>
                <w:b/>
              </w:rPr>
              <w:t xml:space="preserve">: </w:t>
            </w:r>
            <w:r w:rsidR="00AA6825" w:rsidRPr="007A046B">
              <w:rPr>
                <w:b/>
                <w:highlight w:val="yellow"/>
              </w:rPr>
              <w:t>XXXX</w:t>
            </w:r>
          </w:p>
        </w:tc>
      </w:tr>
    </w:tbl>
    <w:p w14:paraId="0BE69156" w14:textId="77777777"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 w14:paraId="0302D688" w14:textId="77777777">
        <w:tc>
          <w:tcPr>
            <w:tcW w:w="9333" w:type="dxa"/>
          </w:tcPr>
          <w:p w14:paraId="27625926" w14:textId="3614DB3E" w:rsidR="00AA6825" w:rsidRPr="007A046B" w:rsidRDefault="00AA6825" w:rsidP="0097763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3.6 Wie viele Patienten planen Sie im Jahr 20</w:t>
            </w:r>
            <w:r w:rsidR="00634D9D">
              <w:rPr>
                <w:b/>
                <w:bCs/>
              </w:rPr>
              <w:t>23</w:t>
            </w:r>
            <w:r w:rsidRPr="007A046B">
              <w:rPr>
                <w:b/>
                <w:bCs/>
              </w:rPr>
              <w:t xml:space="preserve"> mit dieser Methode zu behandeln?</w:t>
            </w:r>
          </w:p>
        </w:tc>
      </w:tr>
      <w:tr w:rsidR="00AA6825" w:rsidRPr="007A046B" w14:paraId="7FE9E82F" w14:textId="77777777">
        <w:tc>
          <w:tcPr>
            <w:tcW w:w="9333" w:type="dxa"/>
          </w:tcPr>
          <w:p w14:paraId="1EECDD13" w14:textId="592B9743" w:rsidR="00AA6825" w:rsidRPr="007A046B" w:rsidRDefault="005B3F2A" w:rsidP="005B3F2A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</w:rPr>
              <w:t>20</w:t>
            </w:r>
            <w:r>
              <w:rPr>
                <w:b/>
              </w:rPr>
              <w:t>2</w:t>
            </w:r>
            <w:r w:rsidR="00634D9D">
              <w:rPr>
                <w:b/>
              </w:rPr>
              <w:t>3</w:t>
            </w:r>
            <w:r w:rsidR="00E17365" w:rsidRPr="007A046B">
              <w:rPr>
                <w:b/>
              </w:rPr>
              <w:t>:</w:t>
            </w:r>
            <w:r w:rsidR="00AA6825" w:rsidRPr="007A046B">
              <w:rPr>
                <w:b/>
              </w:rPr>
              <w:t xml:space="preserve"> </w:t>
            </w:r>
            <w:r w:rsidR="00AA6825" w:rsidRPr="007A046B">
              <w:rPr>
                <w:b/>
                <w:highlight w:val="yellow"/>
              </w:rPr>
              <w:t>XXXX</w:t>
            </w:r>
          </w:p>
        </w:tc>
      </w:tr>
    </w:tbl>
    <w:p w14:paraId="4B7D5274" w14:textId="77777777" w:rsidR="007E5FB3" w:rsidRPr="00733DC6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 w14:paraId="69A8CDD2" w14:textId="77777777">
        <w:tc>
          <w:tcPr>
            <w:tcW w:w="9333" w:type="dxa"/>
          </w:tcPr>
          <w:p w14:paraId="21D0FDE4" w14:textId="77777777" w:rsidR="00AA6825" w:rsidRPr="007A046B" w:rsidRDefault="001B288A" w:rsidP="008926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4.1 Entstehen durch die neue Methode Mehrkosten gegenüber dem bisher üblichen Verfahren? Wenn ja, wodurch? In welcher Höhe (möglichst aufgetrennt nach </w:t>
            </w:r>
            <w:r w:rsidR="008926E0">
              <w:rPr>
                <w:b/>
                <w:bCs/>
              </w:rPr>
              <w:t>Personal</w:t>
            </w:r>
            <w:r w:rsidRPr="007A046B">
              <w:rPr>
                <w:b/>
                <w:bCs/>
              </w:rPr>
              <w:t xml:space="preserve">- und </w:t>
            </w:r>
            <w:r w:rsidR="008926E0">
              <w:rPr>
                <w:b/>
                <w:bCs/>
              </w:rPr>
              <w:t>Sach</w:t>
            </w:r>
            <w:r w:rsidRPr="007A046B">
              <w:rPr>
                <w:b/>
                <w:bCs/>
              </w:rPr>
              <w:t>kosten)?</w:t>
            </w:r>
          </w:p>
        </w:tc>
      </w:tr>
      <w:tr w:rsidR="00AA6825" w:rsidRPr="007A046B" w14:paraId="7FB72731" w14:textId="77777777">
        <w:tc>
          <w:tcPr>
            <w:tcW w:w="9333" w:type="dxa"/>
          </w:tcPr>
          <w:p w14:paraId="0BECE1C3" w14:textId="77777777" w:rsidR="00225A3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>Die Therapie teilt sich in eine Induktions- und Konsolidierungsphase. Aufgrund der Schwere der Erkrankung und der schwerwiegenden Begleiterscheinungen (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Leukopenie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, Gerinnungsstörungen) wird die Induktionstherapie üblicherweise unter stationären Bedingungen durchgeführt. Die Induktionstherapie erfolgt bis zum Erreichen der kompletten Remission. </w:t>
            </w:r>
          </w:p>
          <w:p w14:paraId="199D9B9B" w14:textId="36CDECE5" w:rsidR="001B288A" w:rsidRPr="00B62687" w:rsidRDefault="001B288A" w:rsidP="00634D9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lastRenderedPageBreak/>
              <w:t xml:space="preserve">In der </w:t>
            </w:r>
            <w:r w:rsidRPr="007A046B">
              <w:rPr>
                <w:rFonts w:ascii="Arial" w:hAnsi="Arial" w:cs="Arial"/>
                <w:sz w:val="22"/>
                <w:szCs w:val="22"/>
                <w:u w:val="single"/>
              </w:rPr>
              <w:t>Induktionstherapi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e sind i. d. R. </w:t>
            </w:r>
            <w:r w:rsidR="00557B36">
              <w:rPr>
                <w:rFonts w:ascii="Arial" w:hAnsi="Arial" w:cs="Arial"/>
                <w:sz w:val="22"/>
                <w:szCs w:val="22"/>
              </w:rPr>
              <w:t xml:space="preserve">36 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- 50 Tagesgaben von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Arsentrioxid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 nötig.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Arsentrioxid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046B">
              <w:rPr>
                <w:rFonts w:ascii="Arial" w:hAnsi="Arial" w:cs="Arial"/>
                <w:sz w:val="22"/>
                <w:szCs w:val="22"/>
              </w:rPr>
              <w:t>Trisenox</w:t>
            </w:r>
            <w:proofErr w:type="spellEnd"/>
            <w:r w:rsidRPr="007A046B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 kostet </w:t>
            </w:r>
            <w:r w:rsidR="004A1560">
              <w:rPr>
                <w:rFonts w:ascii="Arial" w:hAnsi="Arial" w:cs="Arial"/>
                <w:sz w:val="22"/>
                <w:szCs w:val="22"/>
              </w:rPr>
              <w:t xml:space="preserve">ca. </w:t>
            </w:r>
            <w:r w:rsidR="00634D9D" w:rsidRPr="00B62687">
              <w:rPr>
                <w:rFonts w:ascii="Arial" w:hAnsi="Arial" w:cs="Arial"/>
                <w:sz w:val="22"/>
                <w:szCs w:val="22"/>
              </w:rPr>
              <w:t>5</w:t>
            </w:r>
            <w:r w:rsidR="00634D9D">
              <w:rPr>
                <w:rFonts w:ascii="Arial" w:hAnsi="Arial" w:cs="Arial"/>
                <w:sz w:val="22"/>
                <w:szCs w:val="22"/>
              </w:rPr>
              <w:t xml:space="preserve">84,10 </w:t>
            </w:r>
            <w:r w:rsidRPr="00B62687">
              <w:rPr>
                <w:rFonts w:ascii="Arial" w:hAnsi="Arial" w:cs="Arial"/>
                <w:sz w:val="22"/>
                <w:szCs w:val="22"/>
              </w:rPr>
              <w:t>€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B6211" w:rsidRPr="00B62687">
              <w:rPr>
                <w:rFonts w:ascii="Arial" w:hAnsi="Arial" w:cs="Arial"/>
                <w:sz w:val="22"/>
                <w:szCs w:val="22"/>
              </w:rPr>
              <w:t xml:space="preserve">Krankenhausapothekeneinkaufspreis, 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>inkl. MwSt.</w:t>
            </w:r>
            <w:r w:rsidR="00634D9D">
              <w:rPr>
                <w:rFonts w:ascii="Arial" w:hAnsi="Arial" w:cs="Arial"/>
                <w:sz w:val="22"/>
                <w:szCs w:val="22"/>
              </w:rPr>
              <w:t>, Stand 8/2022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>)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7D5EFB" w:rsidRPr="00B62687">
              <w:rPr>
                <w:rFonts w:ascii="Arial" w:hAnsi="Arial" w:cs="Arial"/>
                <w:sz w:val="22"/>
                <w:szCs w:val="22"/>
              </w:rPr>
              <w:t xml:space="preserve">Ampulle mit 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10 mg. In der Induktionsphase entstehen bei einem Patient mit </w:t>
            </w:r>
            <w:r w:rsidR="00593B24" w:rsidRPr="00B62687">
              <w:rPr>
                <w:rFonts w:ascii="Arial" w:hAnsi="Arial" w:cs="Arial"/>
                <w:sz w:val="22"/>
                <w:szCs w:val="22"/>
              </w:rPr>
              <w:t>67</w:t>
            </w:r>
            <w:r w:rsidRPr="00B62687">
              <w:rPr>
                <w:rFonts w:ascii="Arial" w:hAnsi="Arial" w:cs="Arial"/>
                <w:sz w:val="22"/>
                <w:szCs w:val="22"/>
              </w:rPr>
              <w:t xml:space="preserve"> kg Körpergewicht </w:t>
            </w:r>
            <w:r w:rsidR="00225A3A" w:rsidRPr="00B62687">
              <w:rPr>
                <w:rFonts w:ascii="Arial" w:hAnsi="Arial" w:cs="Arial"/>
                <w:sz w:val="22"/>
                <w:szCs w:val="22"/>
              </w:rPr>
              <w:t>folgende Arznei</w:t>
            </w:r>
            <w:r w:rsidRPr="00B62687">
              <w:rPr>
                <w:rFonts w:ascii="Arial" w:hAnsi="Arial" w:cs="Arial"/>
                <w:sz w:val="22"/>
                <w:szCs w:val="22"/>
              </w:rPr>
              <w:t>mittelkosten (Bsp. wenn genau eine Ampulle/Dosis verbraucht wird).</w:t>
            </w:r>
          </w:p>
          <w:p w14:paraId="4E6751C4" w14:textId="77777777" w:rsidR="001B288A" w:rsidRPr="00B62687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>Therapiedauer bis CR:</w:t>
            </w:r>
          </w:p>
          <w:p w14:paraId="6CB8987A" w14:textId="57801FF8" w:rsidR="001B288A" w:rsidRPr="00B62687" w:rsidRDefault="001B288A" w:rsidP="00634D9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>30 Tage: 1</w:t>
            </w:r>
            <w:r w:rsidR="0097763F">
              <w:rPr>
                <w:rFonts w:ascii="Arial" w:hAnsi="Arial" w:cs="Arial"/>
                <w:sz w:val="22"/>
                <w:szCs w:val="22"/>
              </w:rPr>
              <w:t>7</w:t>
            </w:r>
            <w:r w:rsidRPr="00B62687">
              <w:rPr>
                <w:rFonts w:ascii="Arial" w:hAnsi="Arial" w:cs="Arial"/>
                <w:sz w:val="22"/>
                <w:szCs w:val="22"/>
              </w:rPr>
              <w:t>.</w:t>
            </w:r>
            <w:r w:rsidR="00634D9D">
              <w:rPr>
                <w:rFonts w:ascii="Arial" w:hAnsi="Arial" w:cs="Arial"/>
                <w:sz w:val="22"/>
                <w:szCs w:val="22"/>
              </w:rPr>
              <w:t>523</w:t>
            </w:r>
            <w:r w:rsidR="00634D9D" w:rsidRPr="00B62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687">
              <w:rPr>
                <w:rFonts w:ascii="Arial" w:hAnsi="Arial" w:cs="Arial"/>
                <w:sz w:val="22"/>
                <w:szCs w:val="22"/>
              </w:rPr>
              <w:t>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3 Packungen</w:t>
            </w:r>
            <w:r w:rsidR="00FB6211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0BE7D15" w14:textId="53AAF79C" w:rsidR="001B288A" w:rsidRPr="00B62687" w:rsidRDefault="001B288A" w:rsidP="00634D9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 xml:space="preserve">40 Tage: </w:t>
            </w:r>
            <w:r w:rsidR="00B62687" w:rsidRPr="00B62687">
              <w:rPr>
                <w:rFonts w:ascii="Arial" w:hAnsi="Arial" w:cs="Arial"/>
                <w:sz w:val="22"/>
                <w:szCs w:val="22"/>
              </w:rPr>
              <w:t>2</w:t>
            </w:r>
            <w:r w:rsidR="0097763F">
              <w:rPr>
                <w:rFonts w:ascii="Arial" w:hAnsi="Arial" w:cs="Arial"/>
                <w:sz w:val="22"/>
                <w:szCs w:val="22"/>
              </w:rPr>
              <w:t>3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>.</w:t>
            </w:r>
            <w:r w:rsidR="00634D9D">
              <w:rPr>
                <w:rFonts w:ascii="Arial" w:hAnsi="Arial" w:cs="Arial"/>
                <w:sz w:val="22"/>
                <w:szCs w:val="22"/>
              </w:rPr>
              <w:t>364</w:t>
            </w:r>
            <w:r w:rsidR="00634D9D" w:rsidRPr="00B62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687">
              <w:rPr>
                <w:rFonts w:ascii="Arial" w:hAnsi="Arial" w:cs="Arial"/>
                <w:sz w:val="22"/>
                <w:szCs w:val="22"/>
              </w:rPr>
              <w:t>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4 Packungen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6D12C61" w14:textId="09E41B1F" w:rsidR="001B288A" w:rsidRPr="007A046B" w:rsidRDefault="001B288A" w:rsidP="00634D9D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B62687">
              <w:rPr>
                <w:rFonts w:ascii="Arial" w:hAnsi="Arial" w:cs="Arial"/>
                <w:sz w:val="22"/>
                <w:szCs w:val="22"/>
              </w:rPr>
              <w:t xml:space="preserve">50 Tage: </w:t>
            </w:r>
            <w:r w:rsidR="0097763F">
              <w:rPr>
                <w:rFonts w:ascii="Arial" w:hAnsi="Arial" w:cs="Arial"/>
                <w:sz w:val="22"/>
                <w:szCs w:val="22"/>
              </w:rPr>
              <w:t>29.</w:t>
            </w:r>
            <w:r w:rsidR="00634D9D">
              <w:rPr>
                <w:rFonts w:ascii="Arial" w:hAnsi="Arial" w:cs="Arial"/>
                <w:sz w:val="22"/>
                <w:szCs w:val="22"/>
              </w:rPr>
              <w:t>205</w:t>
            </w:r>
            <w:r w:rsidR="00634D9D" w:rsidRPr="00B626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2687">
              <w:rPr>
                <w:rFonts w:ascii="Arial" w:hAnsi="Arial" w:cs="Arial"/>
                <w:sz w:val="22"/>
                <w:szCs w:val="22"/>
              </w:rPr>
              <w:t>€ (</w:t>
            </w:r>
            <w:r w:rsidR="0075660A" w:rsidRPr="00B62687">
              <w:rPr>
                <w:rFonts w:ascii="Arial" w:hAnsi="Arial" w:cs="Arial"/>
                <w:sz w:val="22"/>
                <w:szCs w:val="22"/>
              </w:rPr>
              <w:t xml:space="preserve">inkl. MwSt., </w:t>
            </w:r>
            <w:r w:rsidRPr="00B62687">
              <w:rPr>
                <w:rFonts w:ascii="Arial" w:hAnsi="Arial" w:cs="Arial"/>
                <w:sz w:val="22"/>
                <w:szCs w:val="22"/>
              </w:rPr>
              <w:t>5 Packungen</w:t>
            </w:r>
            <w:r w:rsidR="00366CB0" w:rsidRPr="00B62687">
              <w:rPr>
                <w:rFonts w:ascii="Arial" w:hAnsi="Arial" w:cs="Arial"/>
                <w:sz w:val="22"/>
                <w:szCs w:val="22"/>
              </w:rPr>
              <w:t xml:space="preserve"> a 10 Ampullen</w:t>
            </w:r>
            <w:r w:rsidRPr="00B6268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1A03CFD" w14:textId="77777777" w:rsidR="00225A3A" w:rsidRPr="007A046B" w:rsidRDefault="00225A3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3B507A48" w14:textId="77777777" w:rsidR="001B288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7A046B">
              <w:rPr>
                <w:rFonts w:ascii="Arial" w:hAnsi="Arial" w:cs="Arial"/>
                <w:sz w:val="22"/>
                <w:szCs w:val="22"/>
                <w:u w:val="single"/>
              </w:rPr>
              <w:t>Konsolidierungstherapie</w:t>
            </w:r>
            <w:r w:rsidRPr="007A046B">
              <w:rPr>
                <w:rFonts w:ascii="Arial" w:hAnsi="Arial" w:cs="Arial"/>
                <w:sz w:val="22"/>
                <w:szCs w:val="22"/>
              </w:rPr>
              <w:t xml:space="preserve"> erfolgt häufig ambulant bzw. in Tageskliniken.</w:t>
            </w:r>
          </w:p>
          <w:p w14:paraId="196FFF84" w14:textId="77777777" w:rsidR="00225A3A" w:rsidRPr="007A046B" w:rsidRDefault="00225A3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</w:p>
          <w:p w14:paraId="78AA18E2" w14:textId="77777777" w:rsidR="00225A3A" w:rsidRPr="007A046B" w:rsidRDefault="001B288A" w:rsidP="002202B2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 w:rsidRPr="007A046B">
              <w:rPr>
                <w:rFonts w:ascii="Arial" w:hAnsi="Arial" w:cs="Arial"/>
                <w:b/>
                <w:sz w:val="22"/>
                <w:szCs w:val="22"/>
              </w:rPr>
              <w:t xml:space="preserve">Personalkosten: </w:t>
            </w:r>
          </w:p>
          <w:p w14:paraId="30897D34" w14:textId="77777777" w:rsidR="001B288A" w:rsidRPr="007A046B" w:rsidRDefault="001B288A" w:rsidP="002202B2">
            <w:pPr>
              <w:pStyle w:val="NurText"/>
              <w:rPr>
                <w:rFonts w:ascii="Arial" w:hAnsi="Arial" w:cs="Arial"/>
                <w:sz w:val="22"/>
                <w:szCs w:val="22"/>
              </w:rPr>
            </w:pPr>
            <w:r w:rsidRPr="007A046B">
              <w:rPr>
                <w:rFonts w:ascii="Arial" w:hAnsi="Arial" w:cs="Arial"/>
                <w:sz w:val="22"/>
                <w:szCs w:val="22"/>
              </w:rPr>
              <w:t>zu vernachlässigen</w:t>
            </w:r>
          </w:p>
          <w:p w14:paraId="25950B55" w14:textId="77777777" w:rsidR="00225A3A" w:rsidRPr="007A046B" w:rsidRDefault="001B288A" w:rsidP="002202B2">
            <w:pPr>
              <w:pStyle w:val="NurText"/>
              <w:rPr>
                <w:rFonts w:ascii="Arial" w:hAnsi="Arial" w:cs="Arial"/>
                <w:b/>
                <w:sz w:val="22"/>
                <w:szCs w:val="22"/>
              </w:rPr>
            </w:pPr>
            <w:r w:rsidRPr="007A046B">
              <w:rPr>
                <w:rFonts w:ascii="Arial" w:hAnsi="Arial" w:cs="Arial"/>
                <w:b/>
                <w:sz w:val="22"/>
                <w:szCs w:val="22"/>
              </w:rPr>
              <w:t xml:space="preserve">Eingesparte Sachkosten: </w:t>
            </w:r>
          </w:p>
          <w:p w14:paraId="61E094BE" w14:textId="77777777" w:rsidR="00AA6825" w:rsidRPr="007A046B" w:rsidRDefault="001B288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 xml:space="preserve">In den konventionellen Therapieprotokollen, die </w:t>
            </w:r>
            <w:r w:rsidR="00225A3A" w:rsidRPr="00733DC6">
              <w:t xml:space="preserve">durch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ab</w:t>
            </w:r>
            <w:r w:rsidR="00225A3A" w:rsidRPr="00733DC6">
              <w:t>ge</w:t>
            </w:r>
            <w:r w:rsidRPr="00733DC6">
              <w:t>löst</w:t>
            </w:r>
            <w:r w:rsidR="00225A3A" w:rsidRPr="00733DC6">
              <w:t xml:space="preserve"> werden</w:t>
            </w:r>
            <w:r w:rsidRPr="00733DC6">
              <w:t xml:space="preserve">, ist in der Regel </w:t>
            </w:r>
            <w:proofErr w:type="spellStart"/>
            <w:r w:rsidRPr="00733DC6">
              <w:t>Idarubicin</w:t>
            </w:r>
            <w:proofErr w:type="spellEnd"/>
            <w:r w:rsidRPr="00733DC6">
              <w:t xml:space="preserve"> mit 12 mg/m</w:t>
            </w:r>
            <w:r w:rsidR="00225A3A" w:rsidRPr="00733DC6">
              <w:t>²</w:t>
            </w:r>
            <w:r w:rsidRPr="00733DC6">
              <w:t xml:space="preserve"> an 4 Tagen gegeben worden zusammen mit ATRA. </w:t>
            </w:r>
            <w:r w:rsidR="0038460D" w:rsidRPr="00733DC6">
              <w:t>D</w:t>
            </w:r>
            <w:r w:rsidRPr="00733DC6">
              <w:t xml:space="preserve">ie Kosten einer solchen konventionellen Therapie sind für z. B. </w:t>
            </w:r>
            <w:proofErr w:type="spellStart"/>
            <w:r w:rsidRPr="00733DC6">
              <w:t>Idarubicin</w:t>
            </w:r>
            <w:proofErr w:type="spellEnd"/>
            <w:r w:rsidRPr="00733DC6">
              <w:t xml:space="preserve"> an 4 Tagen zu 12 mg/m</w:t>
            </w:r>
            <w:r w:rsidR="0038460D" w:rsidRPr="00733DC6">
              <w:t>²</w:t>
            </w:r>
            <w:r w:rsidRPr="00733DC6">
              <w:t xml:space="preserve"> </w:t>
            </w:r>
            <w:proofErr w:type="spellStart"/>
            <w:r w:rsidRPr="00733DC6">
              <w:t>ca</w:t>
            </w:r>
            <w:proofErr w:type="spellEnd"/>
            <w:r w:rsidRPr="00733DC6">
              <w:t xml:space="preserve"> 3.000 € und für ATRA </w:t>
            </w:r>
            <w:proofErr w:type="spellStart"/>
            <w:r w:rsidRPr="00733DC6">
              <w:t>ca</w:t>
            </w:r>
            <w:proofErr w:type="spellEnd"/>
            <w:r w:rsidRPr="00733DC6">
              <w:t xml:space="preserve"> 30 € pro Tag, somit für 25 Tage ca. 750 €. Gesamtsumme: 3.750 €. Allerdings qualifiziert eine intensive Chemotherapie für andere DRGs.</w:t>
            </w:r>
          </w:p>
        </w:tc>
      </w:tr>
    </w:tbl>
    <w:p w14:paraId="306791C4" w14:textId="77777777" w:rsidR="00AA6825" w:rsidRPr="00733DC6" w:rsidRDefault="00AA6825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7A046B" w14:paraId="61C0A21E" w14:textId="77777777">
        <w:tc>
          <w:tcPr>
            <w:tcW w:w="9333" w:type="dxa"/>
          </w:tcPr>
          <w:p w14:paraId="104FD590" w14:textId="77777777" w:rsidR="00AA6825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4.2 Welche DRG(s) ist/sind am häufigsten von dieser Methode betroffen?</w:t>
            </w:r>
          </w:p>
        </w:tc>
      </w:tr>
      <w:tr w:rsidR="00AA6825" w:rsidRPr="007A046B" w14:paraId="5CF16534" w14:textId="77777777">
        <w:tc>
          <w:tcPr>
            <w:tcW w:w="9333" w:type="dxa"/>
          </w:tcPr>
          <w:p w14:paraId="36184A91" w14:textId="77777777" w:rsidR="00AA6825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>R60</w:t>
            </w:r>
          </w:p>
        </w:tc>
      </w:tr>
    </w:tbl>
    <w:p w14:paraId="33C47580" w14:textId="77777777" w:rsidR="0064111C" w:rsidRPr="00733DC6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7A046B" w14:paraId="306B4D57" w14:textId="77777777">
        <w:tc>
          <w:tcPr>
            <w:tcW w:w="9333" w:type="dxa"/>
          </w:tcPr>
          <w:p w14:paraId="12DC81C6" w14:textId="77777777" w:rsidR="0064111C" w:rsidRPr="007A046B" w:rsidRDefault="006411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>4.3 Warum ist diese Methode aus Ihrer Sicht derzeit im G-DRG-System nicht sachgerecht abgebildet?</w:t>
            </w:r>
          </w:p>
        </w:tc>
      </w:tr>
      <w:tr w:rsidR="0064111C" w:rsidRPr="007A046B" w14:paraId="282C9926" w14:textId="77777777">
        <w:tc>
          <w:tcPr>
            <w:tcW w:w="9333" w:type="dxa"/>
          </w:tcPr>
          <w:p w14:paraId="1F82D63A" w14:textId="77777777" w:rsidR="000D741C" w:rsidRDefault="000D741C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Arsentrioxid</w:t>
            </w:r>
            <w:proofErr w:type="spellEnd"/>
            <w:r>
              <w:t xml:space="preserve"> wurde im Jahr 2002 zugelassen.</w:t>
            </w:r>
          </w:p>
          <w:p w14:paraId="79613DD1" w14:textId="52B9C469" w:rsidR="0064111C" w:rsidRPr="00733DC6" w:rsidRDefault="00E1736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733DC6">
              <w:t>Aufgrund</w:t>
            </w:r>
            <w:r>
              <w:t xml:space="preserve"> </w:t>
            </w:r>
            <w:r w:rsidR="0064111C" w:rsidRPr="00733DC6">
              <w:t xml:space="preserve">der Seltenheit der Erkrankungen, für die </w:t>
            </w:r>
            <w:proofErr w:type="spellStart"/>
            <w:r w:rsidR="0097763F">
              <w:t>Arsentrioxid</w:t>
            </w:r>
            <w:proofErr w:type="spellEnd"/>
            <w:r w:rsidR="0064111C" w:rsidRPr="00733DC6">
              <w:t xml:space="preserve"> </w:t>
            </w:r>
            <w:r w:rsidR="00A73BD5" w:rsidRPr="00733DC6">
              <w:t xml:space="preserve">indiziert </w:t>
            </w:r>
            <w:r w:rsidR="000D741C">
              <w:t xml:space="preserve">ist </w:t>
            </w:r>
            <w:r w:rsidR="00A73BD5" w:rsidRPr="00733DC6">
              <w:t xml:space="preserve">und </w:t>
            </w:r>
            <w:r w:rsidR="0064111C" w:rsidRPr="00733DC6">
              <w:t>eingesetzt wird (</w:t>
            </w:r>
            <w:r w:rsidR="00A73BD5" w:rsidRPr="00733DC6">
              <w:t xml:space="preserve">APL im Rezidiv als </w:t>
            </w:r>
            <w:r w:rsidR="0064111C" w:rsidRPr="00733DC6">
              <w:t xml:space="preserve">kleine Untergruppe der AML), </w:t>
            </w:r>
            <w:r w:rsidR="00D5762B" w:rsidRPr="000E6CF6">
              <w:t>liegen ungenügende Kosten- und Leistungsinformationen in den Krankenhäusern vor, so dass bei Ermittlung des G-DRG-Fallpauschalen-Katalogs 201</w:t>
            </w:r>
            <w:r w:rsidR="0097763F">
              <w:t>4, 2015</w:t>
            </w:r>
            <w:r w:rsidR="004A1560">
              <w:t>,</w:t>
            </w:r>
            <w:r w:rsidR="009C51EA">
              <w:t xml:space="preserve"> 201</w:t>
            </w:r>
            <w:r w:rsidR="0097763F">
              <w:t>6</w:t>
            </w:r>
            <w:r w:rsidR="00C965DF">
              <w:t xml:space="preserve">, </w:t>
            </w:r>
            <w:r w:rsidR="004A1560">
              <w:t>2017</w:t>
            </w:r>
            <w:r w:rsidR="005B3F2A">
              <w:t>,</w:t>
            </w:r>
            <w:r w:rsidR="00715338">
              <w:t xml:space="preserve"> </w:t>
            </w:r>
            <w:r w:rsidR="00C965DF">
              <w:t>2018</w:t>
            </w:r>
            <w:r w:rsidR="00715338">
              <w:t xml:space="preserve">, </w:t>
            </w:r>
            <w:r w:rsidR="005B3F2A">
              <w:t>2019</w:t>
            </w:r>
            <w:r w:rsidR="00634D9D">
              <w:t>, 2020</w:t>
            </w:r>
            <w:r w:rsidR="005B3F2A">
              <w:t xml:space="preserve"> </w:t>
            </w:r>
            <w:r w:rsidR="00634D9D">
              <w:t>und 2021</w:t>
            </w:r>
            <w:r w:rsidR="00715338">
              <w:t xml:space="preserve"> </w:t>
            </w:r>
            <w:r w:rsidR="00D5762B" w:rsidRPr="000E6CF6">
              <w:t>eine sachgerechte Abbildung nicht möglich war.</w:t>
            </w:r>
            <w:r w:rsidR="001227A5">
              <w:t xml:space="preserve"> </w:t>
            </w:r>
          </w:p>
          <w:p w14:paraId="228D7775" w14:textId="77777777" w:rsidR="00262CF6" w:rsidRPr="00733DC6" w:rsidRDefault="00262CF6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733DC6">
              <w:t xml:space="preserve">Die Kosten der Behandlung mit </w:t>
            </w:r>
            <w:proofErr w:type="spellStart"/>
            <w:r w:rsidRPr="00733DC6">
              <w:t>Arsentrioxid</w:t>
            </w:r>
            <w:proofErr w:type="spellEnd"/>
            <w:r w:rsidRPr="00733DC6">
              <w:t xml:space="preserve"> in der Induktions</w:t>
            </w:r>
            <w:r w:rsidR="00077788" w:rsidRPr="00733DC6">
              <w:t>- und Konsolidierungs</w:t>
            </w:r>
            <w:r w:rsidRPr="00733DC6">
              <w:t xml:space="preserve">therapie </w:t>
            </w:r>
            <w:r w:rsidR="00A73BD5" w:rsidRPr="00733DC6">
              <w:t xml:space="preserve">werden i.d.R. </w:t>
            </w:r>
            <w:r w:rsidRPr="00733DC6">
              <w:t xml:space="preserve">die Kosten der gesamten DRG-Erlöse für diese Patienten übersteigen. </w:t>
            </w:r>
          </w:p>
        </w:tc>
      </w:tr>
    </w:tbl>
    <w:p w14:paraId="51FC11E2" w14:textId="77777777" w:rsidR="0064111C" w:rsidRPr="00733DC6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7A046B" w14:paraId="10CF82F8" w14:textId="77777777">
        <w:tc>
          <w:tcPr>
            <w:tcW w:w="9333" w:type="dxa"/>
          </w:tcPr>
          <w:p w14:paraId="4E46E517" w14:textId="77777777" w:rsidR="0064111C" w:rsidRPr="007A046B" w:rsidRDefault="00C0480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046B">
              <w:rPr>
                <w:b/>
                <w:bCs/>
              </w:rPr>
              <w:t xml:space="preserve">4.4 Wurde für diese Methode bereits eine Anfrage gemäß § 6 Abs. 2 </w:t>
            </w:r>
            <w:proofErr w:type="spellStart"/>
            <w:r w:rsidRPr="007A046B">
              <w:rPr>
                <w:b/>
                <w:bCs/>
              </w:rPr>
              <w:t>KHEntgG</w:t>
            </w:r>
            <w:proofErr w:type="spellEnd"/>
            <w:r w:rsidRPr="007A046B">
              <w:rPr>
                <w:b/>
                <w:bCs/>
              </w:rPr>
              <w:t xml:space="preserve"> beim </w:t>
            </w:r>
            <w:proofErr w:type="spellStart"/>
            <w:r w:rsidRPr="007A046B">
              <w:rPr>
                <w:b/>
                <w:bCs/>
              </w:rPr>
              <w:t>InEK</w:t>
            </w:r>
            <w:proofErr w:type="spellEnd"/>
            <w:r w:rsidRPr="007A046B">
              <w:rPr>
                <w:b/>
                <w:bCs/>
              </w:rPr>
              <w:t xml:space="preserve"> gestellt</w:t>
            </w:r>
            <w:r w:rsidRPr="007A046B">
              <w:rPr>
                <w:b/>
              </w:rPr>
              <w:t>?</w:t>
            </w:r>
          </w:p>
        </w:tc>
      </w:tr>
      <w:tr w:rsidR="0064111C" w:rsidRPr="007A046B" w14:paraId="42B969EE" w14:textId="77777777">
        <w:tc>
          <w:tcPr>
            <w:tcW w:w="9333" w:type="dxa"/>
          </w:tcPr>
          <w:p w14:paraId="03E00EE2" w14:textId="77777777" w:rsidR="00C0480A" w:rsidRPr="00733DC6" w:rsidRDefault="00C0480A" w:rsidP="007A046B">
            <w:pPr>
              <w:autoSpaceDE w:val="0"/>
              <w:autoSpaceDN w:val="0"/>
              <w:adjustRightInd w:val="0"/>
              <w:jc w:val="both"/>
            </w:pPr>
            <w:r w:rsidRPr="00733DC6">
              <w:t xml:space="preserve">Wenn Sie für die angefragte Methode bereits in den vergangenen Jahren eine Anfrage gemäß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gestellt haben, kreuzen Sie bitte „Von Ihrem Krankenhaus“ an. Wenn Ihnen bekannt ist, dass ein anderes Krankenhaus für die von Ihnen aktuell angefra</w:t>
            </w:r>
            <w:r w:rsidR="006053A8">
              <w:t>gte Methode bereits eine A</w:t>
            </w:r>
            <w:r w:rsidRPr="00733DC6">
              <w:t xml:space="preserve">nfrage gemäß § 6 Abs. 2 </w:t>
            </w:r>
            <w:proofErr w:type="spellStart"/>
            <w:r w:rsidRPr="00733DC6">
              <w:t>KHEntgG</w:t>
            </w:r>
            <w:proofErr w:type="spellEnd"/>
            <w:r w:rsidRPr="00733DC6">
              <w:t xml:space="preserve"> gestellt hat, kreuzen Sie bitte „Von einem anderen Krankenhaus“ an. Ansonsten kreuzen Sie bitte nichts an.</w:t>
            </w:r>
          </w:p>
          <w:p w14:paraId="45A79CB6" w14:textId="77777777" w:rsidR="00C0480A" w:rsidRPr="00733DC6" w:rsidRDefault="00C0480A" w:rsidP="007A046B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jc w:val="both"/>
            </w:pPr>
            <w:r w:rsidRPr="00733DC6">
              <w:tab/>
              <w:t xml:space="preserve">Von ihrem Krankenhaus </w:t>
            </w:r>
            <w:r w:rsidRPr="007A046B">
              <w:rPr>
                <w:highlight w:val="yellow"/>
              </w:rPr>
              <w:t>XX</w:t>
            </w:r>
          </w:p>
          <w:p w14:paraId="4A33DD30" w14:textId="77777777" w:rsidR="0064111C" w:rsidRPr="007A046B" w:rsidRDefault="00C0480A" w:rsidP="007A046B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3DC6">
              <w:tab/>
            </w:r>
            <w:r w:rsidRPr="00733DC6">
              <w:tab/>
              <w:t xml:space="preserve">Von einem anderen Krankenhaus (falls Ihnen bekannt) </w:t>
            </w:r>
            <w:r w:rsidRPr="007A046B">
              <w:rPr>
                <w:b/>
              </w:rPr>
              <w:t>Ja</w:t>
            </w:r>
            <w:r w:rsidRPr="00733DC6">
              <w:t>.</w:t>
            </w:r>
          </w:p>
        </w:tc>
      </w:tr>
    </w:tbl>
    <w:p w14:paraId="5E21B417" w14:textId="77777777" w:rsidR="00C0480A" w:rsidRPr="00733DC6" w:rsidRDefault="00C0480A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</w:pPr>
    </w:p>
    <w:sectPr w:rsidR="00C0480A" w:rsidRPr="00733DC6" w:rsidSect="002202B2">
      <w:headerReference w:type="default" r:id="rId7"/>
      <w:foot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60AC" w14:textId="77777777" w:rsidR="006D767F" w:rsidRDefault="006D767F">
      <w:r>
        <w:separator/>
      </w:r>
    </w:p>
  </w:endnote>
  <w:endnote w:type="continuationSeparator" w:id="0">
    <w:p w14:paraId="6D9F0E7F" w14:textId="77777777" w:rsidR="006D767F" w:rsidRDefault="006D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MU CompatilFact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EE38" w14:textId="77777777" w:rsidR="00E974DC" w:rsidRDefault="0075660A" w:rsidP="00061A53">
    <w:pPr>
      <w:pStyle w:val="Fuzeile"/>
      <w:rPr>
        <w:sz w:val="20"/>
        <w:szCs w:val="20"/>
      </w:rPr>
    </w:pPr>
    <w:r w:rsidRPr="008328F9">
      <w:rPr>
        <w:sz w:val="20"/>
        <w:szCs w:val="20"/>
      </w:rPr>
      <w:t>Arbeitsgruppe DRG der Gesellschaft für Pädiatrische</w:t>
    </w:r>
    <w:r w:rsidR="00E974DC">
      <w:rPr>
        <w:sz w:val="20"/>
        <w:szCs w:val="20"/>
      </w:rPr>
      <w:t xml:space="preserve"> Onkologie und Hämatologie e.V.</w:t>
    </w:r>
  </w:p>
  <w:p w14:paraId="2C7D99BC" w14:textId="77777777" w:rsidR="0075660A" w:rsidRPr="00F657DE" w:rsidRDefault="009E442D" w:rsidP="00061A53">
    <w:pPr>
      <w:pStyle w:val="Fuzeile"/>
      <w:rPr>
        <w:sz w:val="20"/>
        <w:szCs w:val="20"/>
      </w:rPr>
    </w:pPr>
    <w:hyperlink r:id="rId1" w:history="1">
      <w:r w:rsidR="00E97D69" w:rsidRPr="00F657DE">
        <w:rPr>
          <w:rStyle w:val="Hyperlink"/>
          <w:color w:val="auto"/>
          <w:sz w:val="20"/>
          <w:szCs w:val="20"/>
          <w:u w:val="none"/>
        </w:rPr>
        <w:t>www.gpoh.de</w:t>
      </w:r>
    </w:hyperlink>
  </w:p>
  <w:p w14:paraId="5FCD1995" w14:textId="0ED081B4" w:rsidR="000E45C3" w:rsidRDefault="00AC5E48" w:rsidP="002563A2">
    <w:pPr>
      <w:pStyle w:val="Fuzeile"/>
      <w:rPr>
        <w:snapToGrid w:val="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994DFB6" wp14:editId="0F573A56">
          <wp:simplePos x="0" y="0"/>
          <wp:positionH relativeFrom="column">
            <wp:posOffset>5029200</wp:posOffset>
          </wp:positionH>
          <wp:positionV relativeFrom="paragraph">
            <wp:posOffset>37465</wp:posOffset>
          </wp:positionV>
          <wp:extent cx="742950" cy="314325"/>
          <wp:effectExtent l="0" t="0" r="0" b="952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660A" w:rsidRPr="008328F9">
      <w:rPr>
        <w:snapToGrid w:val="0"/>
        <w:sz w:val="20"/>
        <w:szCs w:val="20"/>
      </w:rPr>
      <w:t xml:space="preserve">Seite </w:t>
    </w:r>
    <w:r w:rsidR="0075660A" w:rsidRPr="008328F9">
      <w:rPr>
        <w:snapToGrid w:val="0"/>
        <w:sz w:val="20"/>
        <w:szCs w:val="20"/>
      </w:rPr>
      <w:fldChar w:fldCharType="begin"/>
    </w:r>
    <w:r w:rsidR="0075660A" w:rsidRPr="008328F9">
      <w:rPr>
        <w:snapToGrid w:val="0"/>
        <w:sz w:val="20"/>
        <w:szCs w:val="20"/>
      </w:rPr>
      <w:instrText xml:space="preserve"> PAGE </w:instrText>
    </w:r>
    <w:r w:rsidR="0075660A" w:rsidRPr="008328F9">
      <w:rPr>
        <w:snapToGrid w:val="0"/>
        <w:sz w:val="20"/>
        <w:szCs w:val="20"/>
      </w:rPr>
      <w:fldChar w:fldCharType="separate"/>
    </w:r>
    <w:r w:rsidR="009E442D">
      <w:rPr>
        <w:noProof/>
        <w:snapToGrid w:val="0"/>
        <w:sz w:val="20"/>
        <w:szCs w:val="20"/>
      </w:rPr>
      <w:t>4</w:t>
    </w:r>
    <w:r w:rsidR="0075660A" w:rsidRPr="008328F9">
      <w:rPr>
        <w:snapToGrid w:val="0"/>
        <w:sz w:val="20"/>
        <w:szCs w:val="20"/>
      </w:rPr>
      <w:fldChar w:fldCharType="end"/>
    </w:r>
    <w:r w:rsidR="0075660A" w:rsidRPr="008328F9">
      <w:rPr>
        <w:snapToGrid w:val="0"/>
        <w:sz w:val="20"/>
        <w:szCs w:val="20"/>
      </w:rPr>
      <w:t xml:space="preserve"> von </w:t>
    </w:r>
    <w:r w:rsidR="000E45C3">
      <w:rPr>
        <w:snapToGrid w:val="0"/>
        <w:sz w:val="20"/>
        <w:szCs w:val="20"/>
      </w:rPr>
      <w:t>4</w:t>
    </w:r>
  </w:p>
  <w:p w14:paraId="5D86B55F" w14:textId="3225F13B" w:rsidR="00E974DC" w:rsidRDefault="000E45C3" w:rsidP="005B3F2A">
    <w:pPr>
      <w:pStyle w:val="Fuzeile"/>
    </w:pPr>
    <w:r>
      <w:rPr>
        <w:sz w:val="20"/>
        <w:szCs w:val="20"/>
      </w:rPr>
      <w:t xml:space="preserve">Final Version </w:t>
    </w:r>
    <w:r w:rsidR="005B3F2A">
      <w:rPr>
        <w:sz w:val="20"/>
        <w:szCs w:val="20"/>
      </w:rPr>
      <w:t>1</w:t>
    </w:r>
    <w:r w:rsidR="00634D9D">
      <w:rPr>
        <w:sz w:val="20"/>
        <w:szCs w:val="20"/>
      </w:rPr>
      <w:t>4</w:t>
    </w:r>
    <w:r w:rsidR="005B3F2A">
      <w:rPr>
        <w:sz w:val="20"/>
        <w:szCs w:val="20"/>
      </w:rPr>
      <w:t>.10.202</w:t>
    </w:r>
    <w:r w:rsidR="00634D9D">
      <w:rPr>
        <w:sz w:val="20"/>
        <w:szCs w:val="20"/>
      </w:rPr>
      <w:t>2</w:t>
    </w:r>
  </w:p>
  <w:p w14:paraId="13E8E0F2" w14:textId="77777777" w:rsidR="0075660A" w:rsidRPr="008328F9" w:rsidRDefault="0075660A" w:rsidP="00061A53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F096" w14:textId="77777777" w:rsidR="006D767F" w:rsidRDefault="006D767F">
      <w:r>
        <w:separator/>
      </w:r>
    </w:p>
  </w:footnote>
  <w:footnote w:type="continuationSeparator" w:id="0">
    <w:p w14:paraId="001B9213" w14:textId="77777777" w:rsidR="006D767F" w:rsidRDefault="006D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9E79" w14:textId="0B1E993F" w:rsidR="00557B36" w:rsidRDefault="0075660A" w:rsidP="00634D9D">
    <w:pPr>
      <w:pStyle w:val="Kopfzeile"/>
      <w:tabs>
        <w:tab w:val="clear" w:pos="4536"/>
        <w:tab w:val="left" w:pos="3240"/>
      </w:tabs>
      <w:rPr>
        <w:b/>
        <w:sz w:val="36"/>
        <w:szCs w:val="24"/>
      </w:rPr>
    </w:pPr>
    <w:r w:rsidRPr="00557B36">
      <w:rPr>
        <w:b/>
        <w:sz w:val="36"/>
        <w:szCs w:val="24"/>
      </w:rPr>
      <w:t xml:space="preserve">NUB Antrag </w:t>
    </w:r>
    <w:r w:rsidR="00715338">
      <w:rPr>
        <w:b/>
        <w:sz w:val="36"/>
        <w:szCs w:val="24"/>
      </w:rPr>
      <w:t>202</w:t>
    </w:r>
    <w:r w:rsidR="00634D9D">
      <w:rPr>
        <w:b/>
        <w:sz w:val="36"/>
        <w:szCs w:val="24"/>
      </w:rPr>
      <w:t>2</w:t>
    </w:r>
    <w:r w:rsidR="004A1560" w:rsidRPr="00557B36">
      <w:rPr>
        <w:b/>
        <w:sz w:val="36"/>
        <w:szCs w:val="24"/>
      </w:rPr>
      <w:t>/</w:t>
    </w:r>
    <w:r w:rsidR="005B3F2A" w:rsidRPr="00557B36">
      <w:rPr>
        <w:b/>
        <w:sz w:val="36"/>
        <w:szCs w:val="24"/>
      </w:rPr>
      <w:t>20</w:t>
    </w:r>
    <w:r w:rsidR="005B3F2A">
      <w:rPr>
        <w:b/>
        <w:sz w:val="36"/>
        <w:szCs w:val="24"/>
      </w:rPr>
      <w:t>2</w:t>
    </w:r>
    <w:r w:rsidR="00634D9D">
      <w:rPr>
        <w:b/>
        <w:sz w:val="36"/>
        <w:szCs w:val="24"/>
      </w:rPr>
      <w:t>3</w:t>
    </w:r>
    <w:r w:rsidR="00557B36">
      <w:rPr>
        <w:rFonts w:ascii="LMU CompatilFact" w:hAnsi="LMU CompatilFact"/>
        <w:noProof/>
      </w:rPr>
      <w:tab/>
    </w:r>
    <w:r w:rsidR="00557B36">
      <w:rPr>
        <w:rFonts w:ascii="LMU CompatilFact" w:hAnsi="LMU CompatilFact"/>
        <w:noProof/>
      </w:rPr>
      <w:drawing>
        <wp:inline distT="0" distB="0" distL="0" distR="0" wp14:anchorId="7ECFC0F9" wp14:editId="032AFB75">
          <wp:extent cx="1642110" cy="6699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3EF409" w14:textId="0424C594" w:rsidR="00557B36" w:rsidRPr="00557B36" w:rsidRDefault="00557B36" w:rsidP="00557B36">
    <w:pPr>
      <w:pStyle w:val="Kopfzeile"/>
      <w:tabs>
        <w:tab w:val="clear" w:pos="4536"/>
        <w:tab w:val="left" w:pos="3240"/>
      </w:tabs>
      <w:jc w:val="both"/>
      <w:rPr>
        <w:b/>
        <w:sz w:val="36"/>
        <w:szCs w:val="24"/>
      </w:rPr>
    </w:pPr>
    <w:proofErr w:type="spellStart"/>
    <w:r>
      <w:rPr>
        <w:b/>
        <w:sz w:val="36"/>
        <w:szCs w:val="24"/>
      </w:rPr>
      <w:t>Arsentrioxid</w:t>
    </w:r>
    <w:proofErr w:type="spellEnd"/>
  </w:p>
  <w:p w14:paraId="40951560" w14:textId="4602C3A8" w:rsidR="0075660A" w:rsidRDefault="0075660A" w:rsidP="00557B36">
    <w:pPr>
      <w:pStyle w:val="Kopfzeile"/>
      <w:tabs>
        <w:tab w:val="clear" w:pos="4536"/>
        <w:tab w:val="left" w:pos="3240"/>
      </w:tabs>
      <w:jc w:val="right"/>
      <w:rPr>
        <w:rFonts w:ascii="LMU CompatilFact" w:hAnsi="LMU CompatilFact"/>
      </w:rPr>
    </w:pPr>
    <w:r>
      <w:rPr>
        <w:rFonts w:ascii="LMU CompatilFact" w:hAnsi="LMU CompatilFact"/>
      </w:rPr>
      <w:tab/>
    </w:r>
  </w:p>
  <w:p w14:paraId="3261D878" w14:textId="77777777" w:rsidR="0075660A" w:rsidRDefault="0075660A" w:rsidP="00241499">
    <w:pPr>
      <w:pStyle w:val="Kopfzeile"/>
      <w:tabs>
        <w:tab w:val="clear" w:pos="4536"/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68CF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A234DE4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E2D377C"/>
    <w:multiLevelType w:val="hybridMultilevel"/>
    <w:tmpl w:val="7184598A"/>
    <w:lvl w:ilvl="0" w:tplc="1674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43DD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7CE12C6"/>
    <w:multiLevelType w:val="hybridMultilevel"/>
    <w:tmpl w:val="DF0A40CC"/>
    <w:lvl w:ilvl="0" w:tplc="52AC0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F49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4A0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8C9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56E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BEB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06F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9C8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28E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E56C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3A87F3C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6297720"/>
    <w:multiLevelType w:val="hybridMultilevel"/>
    <w:tmpl w:val="D372435A"/>
    <w:lvl w:ilvl="0" w:tplc="462C9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C2A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3E0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E88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76F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DAB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C83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65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D3E86"/>
    <w:multiLevelType w:val="hybridMultilevel"/>
    <w:tmpl w:val="B254F5C0"/>
    <w:lvl w:ilvl="0" w:tplc="7CE60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4E"/>
    <w:rsid w:val="000125A9"/>
    <w:rsid w:val="0003192F"/>
    <w:rsid w:val="000516DD"/>
    <w:rsid w:val="00061A53"/>
    <w:rsid w:val="00077788"/>
    <w:rsid w:val="0008265A"/>
    <w:rsid w:val="000C443C"/>
    <w:rsid w:val="000C5C95"/>
    <w:rsid w:val="000D1838"/>
    <w:rsid w:val="000D741C"/>
    <w:rsid w:val="000E45C3"/>
    <w:rsid w:val="000E596A"/>
    <w:rsid w:val="001172CC"/>
    <w:rsid w:val="00120EB8"/>
    <w:rsid w:val="001227A5"/>
    <w:rsid w:val="001801C2"/>
    <w:rsid w:val="00193EFA"/>
    <w:rsid w:val="001963FF"/>
    <w:rsid w:val="00196CCB"/>
    <w:rsid w:val="001B288A"/>
    <w:rsid w:val="001B313C"/>
    <w:rsid w:val="001B598A"/>
    <w:rsid w:val="001E4DF6"/>
    <w:rsid w:val="001F465E"/>
    <w:rsid w:val="00216949"/>
    <w:rsid w:val="002202B2"/>
    <w:rsid w:val="00224CB5"/>
    <w:rsid w:val="00225A3A"/>
    <w:rsid w:val="00241499"/>
    <w:rsid w:val="002563A2"/>
    <w:rsid w:val="00262CF6"/>
    <w:rsid w:val="00263728"/>
    <w:rsid w:val="00287CF2"/>
    <w:rsid w:val="0029737A"/>
    <w:rsid w:val="002A3AE3"/>
    <w:rsid w:val="002B243B"/>
    <w:rsid w:val="002C6715"/>
    <w:rsid w:val="002E2ABF"/>
    <w:rsid w:val="003031C7"/>
    <w:rsid w:val="0034621D"/>
    <w:rsid w:val="00366CB0"/>
    <w:rsid w:val="0038460D"/>
    <w:rsid w:val="003978B3"/>
    <w:rsid w:val="003C64AA"/>
    <w:rsid w:val="0040669E"/>
    <w:rsid w:val="004238BA"/>
    <w:rsid w:val="0045256B"/>
    <w:rsid w:val="0045689F"/>
    <w:rsid w:val="00483013"/>
    <w:rsid w:val="00487FEC"/>
    <w:rsid w:val="004911D1"/>
    <w:rsid w:val="00496EB7"/>
    <w:rsid w:val="004A1560"/>
    <w:rsid w:val="00500C74"/>
    <w:rsid w:val="00501D32"/>
    <w:rsid w:val="00513D34"/>
    <w:rsid w:val="00530A99"/>
    <w:rsid w:val="00557B36"/>
    <w:rsid w:val="005747AB"/>
    <w:rsid w:val="005805ED"/>
    <w:rsid w:val="00591D42"/>
    <w:rsid w:val="00593B24"/>
    <w:rsid w:val="005B3F2A"/>
    <w:rsid w:val="005B5746"/>
    <w:rsid w:val="005C2B41"/>
    <w:rsid w:val="005C6F7E"/>
    <w:rsid w:val="005D4278"/>
    <w:rsid w:val="005D607E"/>
    <w:rsid w:val="005E7D6C"/>
    <w:rsid w:val="005F0285"/>
    <w:rsid w:val="006053A8"/>
    <w:rsid w:val="00634D9D"/>
    <w:rsid w:val="0064111C"/>
    <w:rsid w:val="00673E8B"/>
    <w:rsid w:val="00675660"/>
    <w:rsid w:val="006C360D"/>
    <w:rsid w:val="006D4E0C"/>
    <w:rsid w:val="006D767F"/>
    <w:rsid w:val="006E437A"/>
    <w:rsid w:val="006E577D"/>
    <w:rsid w:val="00715338"/>
    <w:rsid w:val="00721966"/>
    <w:rsid w:val="00733DC6"/>
    <w:rsid w:val="007362DC"/>
    <w:rsid w:val="007407D3"/>
    <w:rsid w:val="007565C4"/>
    <w:rsid w:val="0075660A"/>
    <w:rsid w:val="00766CB1"/>
    <w:rsid w:val="00776B20"/>
    <w:rsid w:val="00795587"/>
    <w:rsid w:val="007A046B"/>
    <w:rsid w:val="007A1CBB"/>
    <w:rsid w:val="007D03FA"/>
    <w:rsid w:val="007D5AD5"/>
    <w:rsid w:val="007D5EFB"/>
    <w:rsid w:val="007E5FB3"/>
    <w:rsid w:val="00814FD4"/>
    <w:rsid w:val="008328F9"/>
    <w:rsid w:val="008346C0"/>
    <w:rsid w:val="008348AA"/>
    <w:rsid w:val="0084012D"/>
    <w:rsid w:val="00866442"/>
    <w:rsid w:val="008926E0"/>
    <w:rsid w:val="008B078D"/>
    <w:rsid w:val="008B6C8A"/>
    <w:rsid w:val="008C1DBE"/>
    <w:rsid w:val="008C2A4E"/>
    <w:rsid w:val="008F7A64"/>
    <w:rsid w:val="00961BDE"/>
    <w:rsid w:val="0097763F"/>
    <w:rsid w:val="00977EC9"/>
    <w:rsid w:val="00990D31"/>
    <w:rsid w:val="009A4C4E"/>
    <w:rsid w:val="009C51EA"/>
    <w:rsid w:val="009D4053"/>
    <w:rsid w:val="009E442D"/>
    <w:rsid w:val="00A0498C"/>
    <w:rsid w:val="00A070A8"/>
    <w:rsid w:val="00A109FF"/>
    <w:rsid w:val="00A24059"/>
    <w:rsid w:val="00A25C02"/>
    <w:rsid w:val="00A36C31"/>
    <w:rsid w:val="00A73BD5"/>
    <w:rsid w:val="00A90FB1"/>
    <w:rsid w:val="00AA426F"/>
    <w:rsid w:val="00AA4564"/>
    <w:rsid w:val="00AA6825"/>
    <w:rsid w:val="00AB40A5"/>
    <w:rsid w:val="00AC5C14"/>
    <w:rsid w:val="00AC5E48"/>
    <w:rsid w:val="00AD14EB"/>
    <w:rsid w:val="00AD6EB6"/>
    <w:rsid w:val="00AF2751"/>
    <w:rsid w:val="00B05242"/>
    <w:rsid w:val="00B37915"/>
    <w:rsid w:val="00B445C6"/>
    <w:rsid w:val="00B543BA"/>
    <w:rsid w:val="00B56676"/>
    <w:rsid w:val="00B62687"/>
    <w:rsid w:val="00B74226"/>
    <w:rsid w:val="00B74A88"/>
    <w:rsid w:val="00BB3011"/>
    <w:rsid w:val="00BD4A05"/>
    <w:rsid w:val="00C0480A"/>
    <w:rsid w:val="00C5458D"/>
    <w:rsid w:val="00C57A05"/>
    <w:rsid w:val="00C7428B"/>
    <w:rsid w:val="00C93DCB"/>
    <w:rsid w:val="00C965DF"/>
    <w:rsid w:val="00CB4F1A"/>
    <w:rsid w:val="00D21C90"/>
    <w:rsid w:val="00D366EC"/>
    <w:rsid w:val="00D5762B"/>
    <w:rsid w:val="00D61A3F"/>
    <w:rsid w:val="00D666CC"/>
    <w:rsid w:val="00D673F2"/>
    <w:rsid w:val="00DF4C1C"/>
    <w:rsid w:val="00E039C1"/>
    <w:rsid w:val="00E17365"/>
    <w:rsid w:val="00E209B3"/>
    <w:rsid w:val="00E21E62"/>
    <w:rsid w:val="00E40FC1"/>
    <w:rsid w:val="00E66BC3"/>
    <w:rsid w:val="00E82930"/>
    <w:rsid w:val="00E974DC"/>
    <w:rsid w:val="00E97D69"/>
    <w:rsid w:val="00EB3B0C"/>
    <w:rsid w:val="00EB3DAF"/>
    <w:rsid w:val="00EC1BC1"/>
    <w:rsid w:val="00EC3E2F"/>
    <w:rsid w:val="00ED5A0E"/>
    <w:rsid w:val="00EE1046"/>
    <w:rsid w:val="00F400B5"/>
    <w:rsid w:val="00F42BA8"/>
    <w:rsid w:val="00F657DE"/>
    <w:rsid w:val="00F90C93"/>
    <w:rsid w:val="00F90C9B"/>
    <w:rsid w:val="00FB6211"/>
    <w:rsid w:val="00FC15D8"/>
    <w:rsid w:val="00FC2D3E"/>
    <w:rsid w:val="00FC4ED7"/>
    <w:rsid w:val="00FE03FF"/>
    <w:rsid w:val="00FE32F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9A9EE1F"/>
  <w15:docId w15:val="{21DE595D-9ECB-4F1B-A1E9-CB1C92D2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03FA"/>
    <w:rPr>
      <w:rFonts w:ascii="Arial" w:hAnsi="Arial" w:cs="Arial"/>
      <w:sz w:val="22"/>
      <w:szCs w:val="22"/>
    </w:rPr>
  </w:style>
  <w:style w:type="paragraph" w:styleId="berschrift6">
    <w:name w:val="heading 6"/>
    <w:basedOn w:val="Standard"/>
    <w:qFormat/>
    <w:rsid w:val="00673E8B"/>
    <w:pPr>
      <w:spacing w:before="100" w:beforeAutospacing="1" w:after="100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A4C4E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7362DC"/>
    <w:rPr>
      <w:rFonts w:ascii="Courier New" w:eastAsia="MS Mincho" w:hAnsi="Courier New" w:cs="Courier New"/>
      <w:sz w:val="20"/>
      <w:szCs w:val="20"/>
      <w:lang w:eastAsia="ja-JP"/>
    </w:rPr>
  </w:style>
  <w:style w:type="table" w:customStyle="1" w:styleId="Tabellengitternetz">
    <w:name w:val="Tabellengitternetz"/>
    <w:basedOn w:val="NormaleTabelle"/>
    <w:rsid w:val="00F4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1A53"/>
    <w:rPr>
      <w:color w:val="0000FF"/>
      <w:u w:val="single"/>
    </w:rPr>
  </w:style>
  <w:style w:type="character" w:customStyle="1" w:styleId="label">
    <w:name w:val="label"/>
    <w:basedOn w:val="Absatz-Standardschriftart"/>
    <w:rsid w:val="00673E8B"/>
  </w:style>
  <w:style w:type="paragraph" w:styleId="HTMLVorformatiert">
    <w:name w:val="HTML Preformatted"/>
    <w:basedOn w:val="Standard"/>
    <w:link w:val="HTMLVorformatiertZchn"/>
    <w:uiPriority w:val="99"/>
    <w:unhideWhenUsed/>
    <w:rsid w:val="00216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216949"/>
    <w:rPr>
      <w:rFonts w:ascii="Courier New" w:hAnsi="Courier New" w:cs="Courier New"/>
    </w:rPr>
  </w:style>
  <w:style w:type="character" w:customStyle="1" w:styleId="FuzeileZchn">
    <w:name w:val="Fußzeile Zchn"/>
    <w:link w:val="Fuzeile"/>
    <w:rsid w:val="00E974DC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30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30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301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30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301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gpo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</vt:lpstr>
      <vt:lpstr>Antrag</vt:lpstr>
    </vt:vector>
  </TitlesOfParts>
  <Company>Kliniken des Landkreises Heidenheim</Company>
  <LinksUpToDate>false</LinksUpToDate>
  <CharactersWithSpaces>10811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http://www.gpoh.de/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flaemigu</dc:creator>
  <cp:lastModifiedBy>Kontny, Udo</cp:lastModifiedBy>
  <cp:revision>4</cp:revision>
  <cp:lastPrinted>2017-10-12T07:12:00Z</cp:lastPrinted>
  <dcterms:created xsi:type="dcterms:W3CDTF">2022-10-14T15:09:00Z</dcterms:created>
  <dcterms:modified xsi:type="dcterms:W3CDTF">2022-10-15T14:48:00Z</dcterms:modified>
</cp:coreProperties>
</file>